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DCD2" w14:textId="77777777" w:rsidR="004F1088" w:rsidRPr="004F1088" w:rsidRDefault="004F1088" w:rsidP="004F1088">
      <w:pPr>
        <w:widowControl/>
        <w:spacing w:after="0" w:line="240" w:lineRule="auto"/>
        <w:jc w:val="right"/>
        <w:rPr>
          <w:rFonts w:ascii="Times New Roman" w:hAnsi="Times New Roman"/>
          <w:noProof/>
          <w:sz w:val="24"/>
          <w:szCs w:val="24"/>
          <w:lang w:val="lv-LV"/>
        </w:rPr>
      </w:pPr>
      <w:r w:rsidRPr="004F1088">
        <w:rPr>
          <w:rFonts w:ascii="Times New Roman" w:hAnsi="Times New Roman"/>
          <w:noProof/>
          <w:sz w:val="24"/>
          <w:szCs w:val="24"/>
          <w:lang w:val="lv-LV"/>
        </w:rPr>
        <w:t xml:space="preserve">Pieteikuma par atbalsta piešķiršanu atbalsta pretendentam </w:t>
      </w:r>
    </w:p>
    <w:p w14:paraId="5BB02A32" w14:textId="77777777" w:rsidR="004F1088" w:rsidRPr="004F1088" w:rsidRDefault="004F1088" w:rsidP="004F1088">
      <w:pPr>
        <w:widowControl/>
        <w:spacing w:after="0" w:line="240" w:lineRule="auto"/>
        <w:jc w:val="right"/>
        <w:rPr>
          <w:rFonts w:ascii="Times New Roman" w:hAnsi="Times New Roman"/>
          <w:noProof/>
          <w:sz w:val="24"/>
          <w:szCs w:val="24"/>
          <w:lang w:val="lv-LV"/>
        </w:rPr>
      </w:pPr>
      <w:r w:rsidRPr="004F1088">
        <w:rPr>
          <w:rFonts w:ascii="Times New Roman" w:hAnsi="Times New Roman"/>
          <w:noProof/>
          <w:sz w:val="24"/>
          <w:szCs w:val="24"/>
          <w:lang w:val="lv-LV"/>
        </w:rPr>
        <w:t>Eiropas Savienības pētniecības, inovāciju, tehnoloģiju attīstības un demonstrācijas programmu projekta īstenošanai vērtēšanas kārtības</w:t>
      </w:r>
    </w:p>
    <w:p w14:paraId="104FAC10" w14:textId="6DB6867C" w:rsidR="004F1088" w:rsidRPr="004F1088" w:rsidRDefault="004F1088" w:rsidP="004F1088">
      <w:pPr>
        <w:widowControl/>
        <w:spacing w:after="0" w:line="240" w:lineRule="auto"/>
        <w:jc w:val="right"/>
        <w:rPr>
          <w:rFonts w:ascii="Times New Roman" w:hAnsi="Times New Roman"/>
          <w:noProof/>
          <w:sz w:val="24"/>
          <w:szCs w:val="24"/>
          <w:lang w:val="lv-LV"/>
        </w:rPr>
      </w:pPr>
      <w:r w:rsidRPr="004F1088">
        <w:rPr>
          <w:rFonts w:ascii="Times New Roman" w:hAnsi="Times New Roman"/>
          <w:noProof/>
          <w:sz w:val="24"/>
          <w:szCs w:val="24"/>
          <w:lang w:val="lv-LV"/>
        </w:rPr>
        <w:t>2</w:t>
      </w:r>
      <w:r w:rsidRPr="004F1088">
        <w:rPr>
          <w:rFonts w:ascii="Times New Roman" w:hAnsi="Times New Roman"/>
          <w:noProof/>
          <w:sz w:val="24"/>
          <w:szCs w:val="24"/>
          <w:lang w:val="lv-LV"/>
        </w:rPr>
        <w:t>.pielikums</w:t>
      </w:r>
    </w:p>
    <w:p w14:paraId="5B88AADE" w14:textId="77777777" w:rsidR="004F1088" w:rsidRPr="004F1088" w:rsidRDefault="004F1088" w:rsidP="004F1088">
      <w:pPr>
        <w:spacing w:after="240" w:line="259" w:lineRule="auto"/>
        <w:jc w:val="center"/>
        <w:rPr>
          <w:rFonts w:ascii="Times New Roman" w:hAnsi="Times New Roman"/>
          <w:b/>
          <w:bCs/>
          <w:noProof/>
          <w:sz w:val="24"/>
          <w:szCs w:val="24"/>
          <w:lang w:val="lv-LV"/>
        </w:rPr>
      </w:pPr>
    </w:p>
    <w:p w14:paraId="6A1E2C51" w14:textId="77777777" w:rsidR="004F1088" w:rsidRPr="004F1088" w:rsidRDefault="004F1088" w:rsidP="004F1088">
      <w:pPr>
        <w:pStyle w:val="Title"/>
        <w:ind w:left="-142"/>
        <w:jc w:val="center"/>
        <w:rPr>
          <w:rFonts w:ascii="Times New Roman" w:hAnsi="Times New Roman" w:cs="Times New Roman"/>
          <w:b/>
          <w:bCs/>
          <w:sz w:val="28"/>
          <w:szCs w:val="28"/>
          <w:lang w:val="lv-LV"/>
        </w:rPr>
      </w:pPr>
      <w:bookmarkStart w:id="0" w:name="_Hlk174444611"/>
      <w:r w:rsidRPr="004F1088">
        <w:rPr>
          <w:rFonts w:ascii="Times New Roman" w:hAnsi="Times New Roman" w:cs="Times New Roman"/>
          <w:b/>
          <w:bCs/>
          <w:sz w:val="28"/>
          <w:szCs w:val="28"/>
          <w:lang w:val="lv-LV"/>
        </w:rPr>
        <w:t>Apliecinājums par atbilstību pētniecības un zināšanu izplatīšanas organizācijai</w:t>
      </w:r>
    </w:p>
    <w:bookmarkEnd w:id="0"/>
    <w:p w14:paraId="22971644" w14:textId="77777777" w:rsidR="004F1088" w:rsidRPr="004F1088" w:rsidRDefault="004F1088" w:rsidP="004F1088">
      <w:pPr>
        <w:rPr>
          <w:rFonts w:ascii="Times New Roman" w:hAnsi="Times New Roman"/>
          <w:sz w:val="24"/>
          <w:szCs w:val="24"/>
          <w:lang w:val="lv-LV"/>
        </w:rPr>
      </w:pPr>
    </w:p>
    <w:p w14:paraId="193DE554" w14:textId="77777777" w:rsidR="004F1088" w:rsidRPr="004F1088" w:rsidRDefault="004F1088" w:rsidP="004F1088">
      <w:pPr>
        <w:rPr>
          <w:rFonts w:ascii="Times New Roman" w:eastAsiaTheme="majorEastAsia" w:hAnsi="Times New Roman"/>
          <w:sz w:val="24"/>
          <w:szCs w:val="24"/>
          <w:lang w:val="lv-LV"/>
        </w:rPr>
      </w:pPr>
      <w:r w:rsidRPr="004F1088">
        <w:rPr>
          <w:rFonts w:ascii="Times New Roman" w:hAnsi="Times New Roman"/>
          <w:sz w:val="24"/>
          <w:szCs w:val="24"/>
          <w:lang w:val="lv-LV"/>
        </w:rPr>
        <w:t xml:space="preserve">Atbalsta pretendenta </w:t>
      </w:r>
      <w:r w:rsidRPr="004F1088">
        <w:rPr>
          <w:rFonts w:ascii="Times New Roman" w:eastAsiaTheme="majorEastAsia" w:hAnsi="Times New Roman"/>
          <w:sz w:val="24"/>
          <w:szCs w:val="24"/>
          <w:lang w:val="lv-LV"/>
        </w:rPr>
        <w:t>nosaukums:________________________</w:t>
      </w:r>
    </w:p>
    <w:p w14:paraId="76938AF3" w14:textId="77777777" w:rsidR="004F1088" w:rsidRPr="004F1088" w:rsidRDefault="004F1088" w:rsidP="004F1088">
      <w:pPr>
        <w:pStyle w:val="Heading1"/>
        <w:numPr>
          <w:ilvl w:val="0"/>
          <w:numId w:val="1"/>
        </w:numPr>
        <w:tabs>
          <w:tab w:val="num" w:pos="360"/>
        </w:tabs>
        <w:spacing w:before="0" w:line="240" w:lineRule="auto"/>
        <w:ind w:left="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Galvenais mērķis jeb pamatdarbība:</w:t>
      </w:r>
    </w:p>
    <w:p w14:paraId="15467867" w14:textId="77777777" w:rsidR="004F1088" w:rsidRPr="004F1088" w:rsidRDefault="004F1088" w:rsidP="004F1088">
      <w:pPr>
        <w:pStyle w:val="Heading2"/>
        <w:numPr>
          <w:ilvl w:val="1"/>
          <w:numId w:val="1"/>
        </w:numPr>
        <w:tabs>
          <w:tab w:val="num" w:pos="360"/>
        </w:tabs>
        <w:spacing w:before="0" w:line="240" w:lineRule="auto"/>
        <w:ind w:left="360" w:hanging="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Darbību reglamentējošie dokumenti</w:t>
      </w:r>
    </w:p>
    <w:tbl>
      <w:tblPr>
        <w:tblStyle w:val="TableGrid"/>
        <w:tblW w:w="9072" w:type="dxa"/>
        <w:tblInd w:w="-5" w:type="dxa"/>
        <w:tblLook w:val="04A0" w:firstRow="1" w:lastRow="0" w:firstColumn="1" w:lastColumn="0" w:noHBand="0" w:noVBand="1"/>
      </w:tblPr>
      <w:tblGrid>
        <w:gridCol w:w="9072"/>
      </w:tblGrid>
      <w:tr w:rsidR="004F1088" w:rsidRPr="004F1088" w14:paraId="1F2DE476" w14:textId="77777777" w:rsidTr="00604FE5">
        <w:trPr>
          <w:trHeight w:val="800"/>
        </w:trPr>
        <w:tc>
          <w:tcPr>
            <w:tcW w:w="9072" w:type="dxa"/>
          </w:tcPr>
          <w:p w14:paraId="4B85BF17" w14:textId="77777777" w:rsidR="004F1088" w:rsidRPr="004F1088" w:rsidRDefault="004F1088" w:rsidP="00604FE5">
            <w:pPr>
              <w:jc w:val="both"/>
              <w:rPr>
                <w:i/>
                <w:iCs/>
                <w:sz w:val="24"/>
                <w:szCs w:val="24"/>
                <w:lang w:val="lv-LV"/>
              </w:rPr>
            </w:pPr>
            <w:bookmarkStart w:id="1" w:name="_Hlk171664957"/>
            <w:r w:rsidRPr="004F1088">
              <w:rPr>
                <w:b/>
                <w:bCs/>
                <w:sz w:val="24"/>
                <w:szCs w:val="24"/>
                <w:lang w:val="lv-LV"/>
              </w:rPr>
              <w:t>“</w:t>
            </w:r>
            <w:r w:rsidRPr="004F1088">
              <w:rPr>
                <w:sz w:val="24"/>
                <w:szCs w:val="24"/>
                <w:lang w:val="lv-LV"/>
              </w:rPr>
              <w:t>Ievērojot Metodikas atbilstības pētniecības un zināšanu izplatīšanas organizācijas noteikšanai (apstiprināta ar Izglītības un zinātnes ministrijas 2024. gada 1. augusta rīkojumu Nr. </w:t>
            </w:r>
            <w:r w:rsidRPr="004F1088">
              <w:rPr>
                <w:noProof/>
                <w:sz w:val="24"/>
                <w:szCs w:val="24"/>
                <w:lang w:val="lv-LV"/>
              </w:rPr>
              <w:t>1-2e/24/229)</w:t>
            </w:r>
            <w:r w:rsidRPr="004F1088">
              <w:rPr>
                <w:i/>
                <w:iCs/>
                <w:sz w:val="24"/>
                <w:szCs w:val="24"/>
                <w:lang w:val="lv-LV"/>
              </w:rPr>
              <w:t xml:space="preserve"> </w:t>
            </w:r>
            <w:r w:rsidRPr="004F1088">
              <w:rPr>
                <w:sz w:val="24"/>
                <w:szCs w:val="24"/>
                <w:lang w:val="lv-LV"/>
              </w:rPr>
              <w:t>7. vai 8. punktā</w:t>
            </w:r>
            <w:r w:rsidRPr="004F1088">
              <w:rPr>
                <w:i/>
                <w:iCs/>
                <w:sz w:val="24"/>
                <w:szCs w:val="24"/>
                <w:lang w:val="lv-LV"/>
              </w:rPr>
              <w:t xml:space="preserve"> </w:t>
            </w:r>
            <w:r w:rsidRPr="004F1088">
              <w:rPr>
                <w:noProof/>
                <w:sz w:val="24"/>
                <w:szCs w:val="24"/>
                <w:lang w:val="lv-LV"/>
              </w:rPr>
              <w:t xml:space="preserve">noteikto, </w:t>
            </w:r>
            <w:r w:rsidRPr="004F1088">
              <w:rPr>
                <w:sz w:val="24"/>
                <w:szCs w:val="24"/>
                <w:lang w:val="lv-LV"/>
              </w:rPr>
              <w:t>sniedz informāciju atbilstoši attiecīgajā punktā noteiktajam.”</w:t>
            </w:r>
          </w:p>
          <w:p w14:paraId="6500AD9E" w14:textId="77777777" w:rsidR="004F1088" w:rsidRPr="004F1088" w:rsidRDefault="004F1088" w:rsidP="00604FE5">
            <w:pPr>
              <w:jc w:val="both"/>
              <w:rPr>
                <w:i/>
                <w:iCs/>
                <w:color w:val="156082" w:themeColor="accent1"/>
                <w:sz w:val="24"/>
                <w:szCs w:val="24"/>
                <w:u w:val="single"/>
                <w:lang w:val="lv-LV"/>
              </w:rPr>
            </w:pPr>
            <w:r w:rsidRPr="004F1088">
              <w:rPr>
                <w:i/>
                <w:iCs/>
                <w:color w:val="156082" w:themeColor="accent1"/>
                <w:sz w:val="24"/>
                <w:szCs w:val="24"/>
                <w:u w:val="single"/>
                <w:lang w:val="lv-LV"/>
              </w:rPr>
              <w:t>1.1.1. Zinātniskais institūts  (neatkarīgi no dibinātāja), kam ir zinātniskās institūcijas statuss:</w:t>
            </w:r>
          </w:p>
          <w:p w14:paraId="6611858D"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sniedz atsauces uz nolikumu un, ja nepieciešams statūtiem, kur noteikta zinātniskās darbības v</w:t>
            </w:r>
            <w:r w:rsidRPr="004F1088">
              <w:rPr>
                <w:rFonts w:eastAsiaTheme="minorEastAsia"/>
                <w:i/>
                <w:iCs/>
                <w:color w:val="156082" w:themeColor="accent1"/>
                <w:sz w:val="24"/>
                <w:szCs w:val="24"/>
                <w:lang w:val="lv-LV"/>
              </w:rPr>
              <w:t>eikšana, tas ir neatkarīgi veikt fundamentālos pētījumus vai rūpnieciskos pētījumus vai eksperimentālo izstrādi (turpmāk – neatkarīga pētniecība), vai šādas neatkarīgas pētniecības darbības rezultātu m</w:t>
            </w:r>
            <w:r w:rsidRPr="004F1088">
              <w:rPr>
                <w:i/>
                <w:iCs/>
                <w:color w:val="156082" w:themeColor="accent1"/>
                <w:sz w:val="24"/>
                <w:szCs w:val="24"/>
                <w:lang w:val="lv-LV"/>
              </w:rPr>
              <w:t xml:space="preserve">ācību, publikāciju vai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plašas izplatīšanas veidā;</w:t>
            </w:r>
          </w:p>
          <w:p w14:paraId="493D556D"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 xml:space="preserve">sniedz atsauces uz finanšu vadības un grāmatvedības politiku vai tās aprakstu (turpmāk – grāmatvedības politika), kur noteikts, ka tā galvenais mērķis jeb pamatdarbība ir </w:t>
            </w:r>
            <w:r w:rsidRPr="004F1088">
              <w:rPr>
                <w:rFonts w:eastAsia="Arial Unicode MS"/>
                <w:i/>
                <w:iCs/>
                <w:color w:val="156082" w:themeColor="accent1"/>
                <w:sz w:val="24"/>
                <w:szCs w:val="24"/>
                <w:shd w:val="clear" w:color="auto" w:fill="FFFFFF"/>
                <w:lang w:val="lv-LV"/>
              </w:rPr>
              <w:t xml:space="preserve">veikt neatkarīgu pētniecību </w:t>
            </w:r>
            <w:r w:rsidRPr="004F1088">
              <w:rPr>
                <w:i/>
                <w:iCs/>
                <w:color w:val="156082" w:themeColor="accent1"/>
                <w:sz w:val="24"/>
                <w:szCs w:val="24"/>
                <w:lang w:val="lv-LV"/>
              </w:rPr>
              <w:t xml:space="preserve">vai plaši izplatīt </w:t>
            </w:r>
            <w:r w:rsidRPr="004F1088">
              <w:rPr>
                <w:rFonts w:eastAsia="Arial Unicode MS"/>
                <w:i/>
                <w:iCs/>
                <w:color w:val="156082" w:themeColor="accent1"/>
                <w:sz w:val="24"/>
                <w:szCs w:val="24"/>
                <w:shd w:val="clear" w:color="auto" w:fill="FFFFFF"/>
                <w:lang w:val="lv-LV"/>
              </w:rPr>
              <w:t xml:space="preserve">šādas neatkarīgas </w:t>
            </w:r>
            <w:r w:rsidRPr="004F1088">
              <w:rPr>
                <w:i/>
                <w:iCs/>
                <w:color w:val="156082" w:themeColor="accent1"/>
                <w:sz w:val="24"/>
                <w:szCs w:val="24"/>
                <w:lang w:val="lv-LV"/>
              </w:rPr>
              <w:t xml:space="preserve">pētniecības darbību rezultātus mācību, publikāciju vai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veidā.</w:t>
            </w:r>
          </w:p>
          <w:p w14:paraId="51032351" w14:textId="77777777" w:rsidR="004F1088" w:rsidRPr="004F1088" w:rsidRDefault="004F1088" w:rsidP="00604FE5">
            <w:pPr>
              <w:pStyle w:val="ListParagraph"/>
              <w:jc w:val="both"/>
              <w:rPr>
                <w:i/>
                <w:iCs/>
                <w:color w:val="156082" w:themeColor="accent1"/>
                <w:sz w:val="24"/>
                <w:szCs w:val="24"/>
                <w:lang w:val="lv-LV"/>
              </w:rPr>
            </w:pPr>
          </w:p>
          <w:p w14:paraId="006EC9C6" w14:textId="77777777" w:rsidR="004F1088" w:rsidRPr="004F1088" w:rsidRDefault="004F1088" w:rsidP="00604FE5">
            <w:pPr>
              <w:jc w:val="both"/>
              <w:rPr>
                <w:i/>
                <w:iCs/>
                <w:color w:val="156082" w:themeColor="accent1"/>
                <w:sz w:val="24"/>
                <w:szCs w:val="24"/>
                <w:u w:val="single"/>
                <w:lang w:val="lv-LV"/>
              </w:rPr>
            </w:pPr>
            <w:r w:rsidRPr="004F1088">
              <w:rPr>
                <w:i/>
                <w:iCs/>
                <w:color w:val="156082" w:themeColor="accent1"/>
                <w:sz w:val="24"/>
                <w:szCs w:val="24"/>
                <w:u w:val="single"/>
                <w:lang w:val="lv-LV"/>
              </w:rPr>
              <w:t>1.1.2. Augstskola (neatkarīgi no dibinātāja), kurai ir zinātniskās institūcijas statuss:</w:t>
            </w:r>
          </w:p>
          <w:p w14:paraId="353F6142"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sniedz atsauces uz satversmi un, ja nepieciešams, statūtiem, kuros noteikts, ka viens no tās galvenajiem mērķiem jeb pamatdarbībām ir neatkarīga pētniecība;</w:t>
            </w:r>
          </w:p>
          <w:p w14:paraId="5B8300E2"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sniedz ziņas par augstskolas akreditāciju, ievieto saiti uz akreditācijas iestādes ziņojumu vai iesniedz kopā ar apliecinājumu;</w:t>
            </w:r>
          </w:p>
          <w:p w14:paraId="4BC5D6A0"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sniedz atsauces uz grāmatvedības politiku, kur noteikts, ka viens no tās galvenajiem mērķiem jeb pamatdarbībām ir neatkarīga pētniecība.</w:t>
            </w:r>
          </w:p>
          <w:p w14:paraId="7FC7854C" w14:textId="77777777" w:rsidR="004F1088" w:rsidRPr="004F1088" w:rsidRDefault="004F1088" w:rsidP="00604FE5">
            <w:pPr>
              <w:pStyle w:val="ListParagraph"/>
              <w:jc w:val="both"/>
              <w:rPr>
                <w:i/>
                <w:iCs/>
                <w:color w:val="156082" w:themeColor="accent1"/>
                <w:sz w:val="24"/>
                <w:szCs w:val="24"/>
                <w:lang w:val="lv-LV"/>
              </w:rPr>
            </w:pPr>
          </w:p>
          <w:p w14:paraId="2451B843"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u w:val="single"/>
                <w:lang w:val="lv-LV"/>
              </w:rPr>
              <w:t>1.1.3. Privāto tiesību subjekts</w:t>
            </w:r>
            <w:r w:rsidRPr="004F1088">
              <w:rPr>
                <w:i/>
                <w:iCs/>
                <w:color w:val="156082" w:themeColor="accent1"/>
                <w:sz w:val="24"/>
                <w:szCs w:val="24"/>
                <w:lang w:val="lv-LV"/>
              </w:rPr>
              <w:t xml:space="preserve"> (piemēram, komercsabiedrība, biedrība vai nodibinājums), kas nav zinātniskais institūts vai augstskola, </w:t>
            </w:r>
            <w:r w:rsidRPr="004F1088">
              <w:rPr>
                <w:i/>
                <w:iCs/>
                <w:color w:val="156082" w:themeColor="accent1"/>
                <w:sz w:val="24"/>
                <w:szCs w:val="24"/>
                <w:u w:val="single"/>
                <w:lang w:val="lv-LV"/>
              </w:rPr>
              <w:t>kam ir zinātniskās institūcijas statuss</w:t>
            </w:r>
            <w:r w:rsidRPr="004F1088">
              <w:rPr>
                <w:i/>
                <w:iCs/>
                <w:color w:val="156082" w:themeColor="accent1"/>
                <w:sz w:val="24"/>
                <w:szCs w:val="24"/>
                <w:lang w:val="lv-LV"/>
              </w:rPr>
              <w:t>:</w:t>
            </w:r>
          </w:p>
          <w:p w14:paraId="6E169B5C"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lang w:val="lv-LV"/>
              </w:rPr>
            </w:pPr>
            <w:r w:rsidRPr="004F1088">
              <w:rPr>
                <w:i/>
                <w:iCs/>
                <w:color w:val="156082" w:themeColor="accent1"/>
                <w:sz w:val="24"/>
                <w:szCs w:val="24"/>
                <w:lang w:val="lv-LV"/>
              </w:rPr>
              <w:t xml:space="preserve">sniedz atsauces uz statūtiem, kur noteikta atsevišķa struktūrvienība, kura veic neatkarīgu pētniecību vai plaši izplata neatkarīgās pētniecības darbības rezultātus mācību, publikāciju vai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veidā;</w:t>
            </w:r>
          </w:p>
          <w:p w14:paraId="7452FB06" w14:textId="77777777" w:rsidR="004F1088" w:rsidRPr="004F1088" w:rsidRDefault="004F1088" w:rsidP="004F1088">
            <w:pPr>
              <w:pStyle w:val="ListParagraph"/>
              <w:widowControl/>
              <w:numPr>
                <w:ilvl w:val="0"/>
                <w:numId w:val="3"/>
              </w:numPr>
              <w:spacing w:after="0" w:line="240" w:lineRule="auto"/>
              <w:jc w:val="both"/>
              <w:rPr>
                <w:i/>
                <w:iCs/>
                <w:color w:val="156082" w:themeColor="accent1"/>
                <w:sz w:val="24"/>
                <w:szCs w:val="24"/>
                <w:u w:val="single"/>
                <w:lang w:val="lv-LV"/>
              </w:rPr>
            </w:pPr>
            <w:r w:rsidRPr="004F1088">
              <w:rPr>
                <w:i/>
                <w:iCs/>
                <w:color w:val="156082" w:themeColor="accent1"/>
                <w:sz w:val="24"/>
                <w:szCs w:val="24"/>
                <w:lang w:val="lv-LV"/>
              </w:rPr>
              <w:t xml:space="preserve">sniedz atsauces uz grāmatvedības politiku, kur noteikts, ka atsevišķas </w:t>
            </w:r>
            <w:r w:rsidRPr="004F1088">
              <w:rPr>
                <w:i/>
                <w:iCs/>
                <w:color w:val="156082" w:themeColor="accent1"/>
                <w:sz w:val="24"/>
                <w:szCs w:val="24"/>
                <w:lang w:val="lv-LV"/>
              </w:rPr>
              <w:lastRenderedPageBreak/>
              <w:t xml:space="preserve">struktūrvienības galvenā darbība jeb pamatdarbība ir neatkarīga pētniecība vai plaši izplatīt tās darbības rezultātus mācību, publikāciju vai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veidā.</w:t>
            </w:r>
          </w:p>
          <w:p w14:paraId="2E7516E2" w14:textId="77777777" w:rsidR="004F1088" w:rsidRPr="004F1088" w:rsidRDefault="004F1088" w:rsidP="00604FE5">
            <w:pPr>
              <w:pStyle w:val="ListParagraph"/>
              <w:jc w:val="both"/>
              <w:rPr>
                <w:i/>
                <w:iCs/>
                <w:color w:val="156082" w:themeColor="accent1"/>
                <w:sz w:val="24"/>
                <w:szCs w:val="24"/>
                <w:u w:val="single"/>
                <w:lang w:val="lv-LV"/>
              </w:rPr>
            </w:pPr>
          </w:p>
          <w:p w14:paraId="5CFB9FC3"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u w:val="single"/>
                <w:lang w:val="lv-LV"/>
              </w:rPr>
              <w:t>Subjekts, kam nav zinātniskās institūcijas statuss</w:t>
            </w:r>
            <w:r w:rsidRPr="004F1088">
              <w:rPr>
                <w:i/>
                <w:iCs/>
                <w:color w:val="156082" w:themeColor="accent1"/>
                <w:sz w:val="24"/>
                <w:szCs w:val="24"/>
                <w:lang w:val="lv-LV"/>
              </w:rPr>
              <w:t>, atbilstoši Ministru kabineta noteikumu Nr. 35 “Eiropas Savienības kohēzijas politikas programmas 2021.–2027. gadam 1.1.1. specifiskā atbalsta mērķa "Pētniecības un inovāciju kapacitātes stiprināšana un progresīvu tehnoloģiju ieviešana kopējā P&amp;A sistēmā" 1.1.1.9. pasākuma "</w:t>
            </w:r>
            <w:proofErr w:type="spellStart"/>
            <w:r w:rsidRPr="004F1088">
              <w:rPr>
                <w:i/>
                <w:iCs/>
                <w:color w:val="156082" w:themeColor="accent1"/>
                <w:sz w:val="24"/>
                <w:szCs w:val="24"/>
                <w:lang w:val="lv-LV"/>
              </w:rPr>
              <w:t>Pēcdoktorantūras</w:t>
            </w:r>
            <w:proofErr w:type="spellEnd"/>
            <w:r w:rsidRPr="004F1088">
              <w:rPr>
                <w:i/>
                <w:iCs/>
                <w:color w:val="156082" w:themeColor="accent1"/>
                <w:sz w:val="24"/>
                <w:szCs w:val="24"/>
                <w:lang w:val="lv-LV"/>
              </w:rPr>
              <w:t xml:space="preserve"> pētījumi" īstenošanas noteikumi” 2.1.1.punktā noteiktajam, nav atbalstāms dalībai konkursā.</w:t>
            </w:r>
          </w:p>
          <w:p w14:paraId="3C2CD681" w14:textId="77777777" w:rsidR="004F1088" w:rsidRPr="004F1088" w:rsidRDefault="004F1088" w:rsidP="00604FE5">
            <w:pPr>
              <w:jc w:val="both"/>
              <w:rPr>
                <w:i/>
                <w:iCs/>
                <w:sz w:val="24"/>
                <w:szCs w:val="24"/>
                <w:lang w:val="lv-LV"/>
              </w:rPr>
            </w:pPr>
            <w:r w:rsidRPr="004F1088">
              <w:rPr>
                <w:i/>
                <w:iCs/>
                <w:color w:val="156082" w:themeColor="accent1"/>
                <w:sz w:val="24"/>
                <w:szCs w:val="24"/>
                <w:lang w:val="lv-LV"/>
              </w:rPr>
              <w:t>! Iesniedz saites un avotus uz dokumentiem, kas pieejami publiski, vai iesniedz tos kopā ar apliecinājumu, ja dokumenti nav publiski pieejami.</w:t>
            </w:r>
          </w:p>
        </w:tc>
      </w:tr>
      <w:bookmarkEnd w:id="1"/>
    </w:tbl>
    <w:p w14:paraId="3EA2554A" w14:textId="77777777" w:rsidR="004F1088" w:rsidRPr="004F1088" w:rsidRDefault="004F1088" w:rsidP="004F1088">
      <w:pPr>
        <w:pStyle w:val="Heading2"/>
        <w:spacing w:before="0" w:line="240" w:lineRule="auto"/>
        <w:ind w:left="1080"/>
        <w:rPr>
          <w:rFonts w:ascii="Times New Roman" w:hAnsi="Times New Roman" w:cs="Times New Roman"/>
          <w:color w:val="auto"/>
          <w:sz w:val="24"/>
          <w:szCs w:val="24"/>
          <w:lang w:val="lv-LV"/>
        </w:rPr>
      </w:pPr>
    </w:p>
    <w:p w14:paraId="74AECA3A" w14:textId="77777777" w:rsidR="004F1088" w:rsidRPr="004F1088" w:rsidRDefault="004F1088" w:rsidP="004F1088">
      <w:pPr>
        <w:pStyle w:val="Heading2"/>
        <w:numPr>
          <w:ilvl w:val="1"/>
          <w:numId w:val="1"/>
        </w:numPr>
        <w:tabs>
          <w:tab w:val="num" w:pos="360"/>
        </w:tabs>
        <w:spacing w:before="0" w:line="240" w:lineRule="auto"/>
        <w:ind w:left="360" w:hanging="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Galvenā mērķa jeb pamatdarbības faktiskā izpilde jeb aktīva darbība</w:t>
      </w:r>
    </w:p>
    <w:tbl>
      <w:tblPr>
        <w:tblStyle w:val="TableGrid"/>
        <w:tblW w:w="9072" w:type="dxa"/>
        <w:tblInd w:w="-5" w:type="dxa"/>
        <w:tblLook w:val="04A0" w:firstRow="1" w:lastRow="0" w:firstColumn="1" w:lastColumn="0" w:noHBand="0" w:noVBand="1"/>
      </w:tblPr>
      <w:tblGrid>
        <w:gridCol w:w="9072"/>
      </w:tblGrid>
      <w:tr w:rsidR="004F1088" w:rsidRPr="004F1088" w14:paraId="78E1829F" w14:textId="77777777" w:rsidTr="00604FE5">
        <w:trPr>
          <w:trHeight w:val="1768"/>
        </w:trPr>
        <w:tc>
          <w:tcPr>
            <w:tcW w:w="9072" w:type="dxa"/>
          </w:tcPr>
          <w:p w14:paraId="709104CF" w14:textId="77777777" w:rsidR="004F1088" w:rsidRPr="004F1088" w:rsidRDefault="004F1088" w:rsidP="00604FE5">
            <w:pPr>
              <w:rPr>
                <w:sz w:val="24"/>
                <w:szCs w:val="24"/>
                <w:u w:val="single"/>
                <w:lang w:val="lv-LV"/>
              </w:rPr>
            </w:pPr>
            <w:r w:rsidRPr="004F1088">
              <w:rPr>
                <w:sz w:val="24"/>
                <w:szCs w:val="24"/>
                <w:u w:val="single"/>
                <w:lang w:val="lv-LV"/>
              </w:rPr>
              <w:t>1.2.1. Subjekts, kam ir zinātniskās institūcijas statuss:</w:t>
            </w:r>
          </w:p>
          <w:p w14:paraId="06726F37"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Sniedz atsauces uz konkrētām sadaļām Nacionālās zinātniskās darbības informācijas sistēmas (turpmāk – NZDIS) daļā “Publicētie zinātnisko institūciju pārskati par zinātnisko darbību” (</w:t>
            </w:r>
            <w:hyperlink r:id="rId7" w:anchor="/pub/home" w:history="1">
              <w:r w:rsidRPr="004F1088">
                <w:rPr>
                  <w:rStyle w:val="Hyperlink"/>
                  <w:color w:val="156082" w:themeColor="accent1"/>
                  <w:sz w:val="24"/>
                  <w:szCs w:val="24"/>
                  <w:lang w:val="lv-LV"/>
                </w:rPr>
                <w:t>https://sciencelatvia.gov.lv/#/pub/home</w:t>
              </w:r>
            </w:hyperlink>
            <w:r w:rsidRPr="004F1088">
              <w:rPr>
                <w:i/>
                <w:iCs/>
                <w:color w:val="156082" w:themeColor="accent1"/>
                <w:sz w:val="24"/>
                <w:szCs w:val="24"/>
                <w:lang w:val="lv-LV"/>
              </w:rPr>
              <w:t>), kur subjektam ir pienākums līdz kārtēja gada 1.aprīlim iesniegt publicēšanai zinātniskās darbības pārskatu par iepriekšējo kalendāra gadu</w:t>
            </w:r>
            <w:r w:rsidRPr="004F1088">
              <w:rPr>
                <w:rStyle w:val="FootnoteReference"/>
                <w:i/>
                <w:iCs/>
                <w:color w:val="156082" w:themeColor="accent1"/>
                <w:sz w:val="24"/>
                <w:szCs w:val="24"/>
                <w:lang w:val="lv-LV"/>
              </w:rPr>
              <w:footnoteReference w:id="1"/>
            </w:r>
            <w:r w:rsidRPr="004F1088">
              <w:rPr>
                <w:i/>
                <w:iCs/>
                <w:color w:val="156082" w:themeColor="accent1"/>
                <w:sz w:val="24"/>
                <w:szCs w:val="24"/>
                <w:lang w:val="lv-LV"/>
              </w:rPr>
              <w:t xml:space="preserve">, nodrošinot, ka pieejamā informācija apliecina neatkarīgas pētniecības un tās darbības rezultātu plašas izplatīšanas mācību, publikāciju un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veidā faktisko esamību.</w:t>
            </w:r>
          </w:p>
          <w:p w14:paraId="6F2147C0"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 Gadījumā, ja subjekta atbilstības izvērtēšanai pētniecības un zināšanu izplatīšanas organizācijas statusam ir būtiska cita informācija, kas nav pieejama NZDIS,  ievieto saites un avotus, kur šī informācija ir pieejama, vai iesniedz to kopā ar šo apliecinājumu.</w:t>
            </w:r>
          </w:p>
          <w:p w14:paraId="6ACA887C"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u w:val="single"/>
                <w:lang w:val="lv-LV"/>
              </w:rPr>
              <w:t>! Subjekts, kas dibināts kalendārajā gadā,</w:t>
            </w:r>
            <w:r w:rsidRPr="004F1088">
              <w:rPr>
                <w:i/>
                <w:iCs/>
                <w:color w:val="156082" w:themeColor="accent1"/>
                <w:sz w:val="24"/>
                <w:szCs w:val="24"/>
                <w:lang w:val="lv-LV"/>
              </w:rPr>
              <w:t xml:space="preserve"> kurā veic atbilstības </w:t>
            </w:r>
            <w:proofErr w:type="spellStart"/>
            <w:r w:rsidRPr="004F1088">
              <w:rPr>
                <w:i/>
                <w:iCs/>
                <w:color w:val="156082" w:themeColor="accent1"/>
                <w:sz w:val="24"/>
                <w:szCs w:val="24"/>
                <w:lang w:val="lv-LV"/>
              </w:rPr>
              <w:t>izvērtējumu</w:t>
            </w:r>
            <w:proofErr w:type="spellEnd"/>
            <w:r w:rsidRPr="004F1088">
              <w:rPr>
                <w:i/>
                <w:iCs/>
                <w:color w:val="156082" w:themeColor="accent1"/>
                <w:sz w:val="24"/>
                <w:szCs w:val="24"/>
                <w:lang w:val="lv-LV"/>
              </w:rPr>
              <w:t xml:space="preserve"> </w:t>
            </w:r>
            <w:r w:rsidRPr="004F1088">
              <w:rPr>
                <w:rStyle w:val="cf01"/>
                <w:rFonts w:ascii="Times New Roman" w:hAnsi="Times New Roman"/>
                <w:i/>
                <w:iCs/>
                <w:color w:val="156082" w:themeColor="accent1"/>
                <w:sz w:val="24"/>
                <w:szCs w:val="24"/>
                <w:lang w:val="lv-LV"/>
              </w:rPr>
              <w:t>atbilstoši metodikai</w:t>
            </w:r>
            <w:r w:rsidRPr="004F1088">
              <w:rPr>
                <w:i/>
                <w:iCs/>
                <w:color w:val="156082" w:themeColor="accent1"/>
                <w:sz w:val="24"/>
                <w:szCs w:val="24"/>
                <w:lang w:val="lv-LV"/>
              </w:rPr>
              <w:t xml:space="preserve"> </w:t>
            </w:r>
            <w:r w:rsidRPr="004F1088">
              <w:rPr>
                <w:i/>
                <w:iCs/>
                <w:color w:val="156082" w:themeColor="accent1"/>
                <w:sz w:val="24"/>
                <w:szCs w:val="24"/>
                <w:u w:val="single"/>
                <w:lang w:val="lv-LV"/>
              </w:rPr>
              <w:t>un nav pieejami faktiski pierādījumi</w:t>
            </w:r>
            <w:r w:rsidRPr="004F1088">
              <w:rPr>
                <w:i/>
                <w:iCs/>
                <w:color w:val="156082" w:themeColor="accent1"/>
                <w:sz w:val="24"/>
                <w:szCs w:val="24"/>
                <w:lang w:val="lv-LV"/>
              </w:rPr>
              <w:t xml:space="preserve"> par neatkarīgas pētniecības darbībām vai šādu darbību rezultātu plašu izplatīšanu mācību, publikāciju vai zināšanu </w:t>
            </w:r>
            <w:proofErr w:type="spellStart"/>
            <w:r w:rsidRPr="004F1088">
              <w:rPr>
                <w:i/>
                <w:iCs/>
                <w:color w:val="156082" w:themeColor="accent1"/>
                <w:sz w:val="24"/>
                <w:szCs w:val="24"/>
                <w:lang w:val="lv-LV"/>
              </w:rPr>
              <w:t>pārneses</w:t>
            </w:r>
            <w:proofErr w:type="spellEnd"/>
            <w:r w:rsidRPr="004F1088">
              <w:rPr>
                <w:i/>
                <w:iCs/>
                <w:color w:val="156082" w:themeColor="accent1"/>
                <w:sz w:val="24"/>
                <w:szCs w:val="24"/>
                <w:lang w:val="lv-LV"/>
              </w:rPr>
              <w:t xml:space="preserve"> veidā, aizpilda apliecinājuma 1.1., 2., 3. un 4.sadaļu. </w:t>
            </w:r>
          </w:p>
          <w:p w14:paraId="76E2E113" w14:textId="77777777" w:rsidR="004F1088" w:rsidRPr="004F1088" w:rsidRDefault="004F1088" w:rsidP="00604FE5">
            <w:pPr>
              <w:pStyle w:val="pf0"/>
              <w:spacing w:before="0" w:beforeAutospacing="0" w:after="0" w:afterAutospacing="0"/>
              <w:jc w:val="both"/>
              <w:rPr>
                <w:i/>
                <w:iCs/>
                <w:lang w:val="lv-LV"/>
              </w:rPr>
            </w:pPr>
          </w:p>
        </w:tc>
      </w:tr>
    </w:tbl>
    <w:p w14:paraId="7E5CFD2D" w14:textId="77777777" w:rsidR="004F1088" w:rsidRPr="004F1088" w:rsidRDefault="004F1088" w:rsidP="004F1088">
      <w:pPr>
        <w:rPr>
          <w:rFonts w:ascii="Times New Roman" w:hAnsi="Times New Roman"/>
          <w:lang w:val="lv-LV"/>
        </w:rPr>
      </w:pPr>
    </w:p>
    <w:p w14:paraId="5069AB72" w14:textId="77777777" w:rsidR="004F1088" w:rsidRPr="004F1088" w:rsidRDefault="004F1088" w:rsidP="004F1088">
      <w:pPr>
        <w:pStyle w:val="Heading1"/>
        <w:numPr>
          <w:ilvl w:val="0"/>
          <w:numId w:val="1"/>
        </w:numPr>
        <w:tabs>
          <w:tab w:val="num" w:pos="360"/>
        </w:tabs>
        <w:spacing w:before="0" w:line="240" w:lineRule="auto"/>
        <w:ind w:left="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Zinātniskā kapacitāte</w:t>
      </w:r>
    </w:p>
    <w:tbl>
      <w:tblPr>
        <w:tblStyle w:val="TableGrid"/>
        <w:tblW w:w="9072" w:type="dxa"/>
        <w:tblInd w:w="-5" w:type="dxa"/>
        <w:tblLook w:val="04A0" w:firstRow="1" w:lastRow="0" w:firstColumn="1" w:lastColumn="0" w:noHBand="0" w:noVBand="1"/>
      </w:tblPr>
      <w:tblGrid>
        <w:gridCol w:w="9072"/>
      </w:tblGrid>
      <w:tr w:rsidR="004F1088" w:rsidRPr="004F1088" w14:paraId="2E5C4E3C" w14:textId="77777777" w:rsidTr="00604FE5">
        <w:trPr>
          <w:trHeight w:val="1628"/>
        </w:trPr>
        <w:tc>
          <w:tcPr>
            <w:tcW w:w="9072" w:type="dxa"/>
          </w:tcPr>
          <w:p w14:paraId="00E31740" w14:textId="77777777" w:rsidR="004F1088" w:rsidRPr="004F1088" w:rsidRDefault="004F1088" w:rsidP="00604FE5">
            <w:pPr>
              <w:pStyle w:val="ListParagraph"/>
              <w:ind w:left="420"/>
              <w:jc w:val="both"/>
              <w:rPr>
                <w:i/>
                <w:iCs/>
                <w:color w:val="156082" w:themeColor="accent1"/>
                <w:sz w:val="24"/>
                <w:szCs w:val="24"/>
                <w:lang w:val="lv-LV"/>
              </w:rPr>
            </w:pPr>
            <w:bookmarkStart w:id="2" w:name="_Hlk171664899"/>
            <w:r w:rsidRPr="004F1088">
              <w:rPr>
                <w:i/>
                <w:iCs/>
                <w:color w:val="156082" w:themeColor="accent1"/>
                <w:sz w:val="24"/>
                <w:szCs w:val="24"/>
                <w:lang w:val="lv-LV"/>
              </w:rPr>
              <w:t>Sniedz atsauces uz konkrētām sadaļām NZDIS daļā “Publicētie zinātnisko institūciju pārskati par zinātnisko darbību” (</w:t>
            </w:r>
            <w:hyperlink r:id="rId8" w:anchor="/pub/home" w:history="1">
              <w:r w:rsidRPr="004F1088">
                <w:rPr>
                  <w:rStyle w:val="Hyperlink"/>
                  <w:color w:val="156082" w:themeColor="accent1"/>
                  <w:sz w:val="24"/>
                  <w:szCs w:val="24"/>
                  <w:lang w:val="lv-LV"/>
                </w:rPr>
                <w:t>https://sciencelatvia.gov.lv/#/pub/home</w:t>
              </w:r>
            </w:hyperlink>
            <w:r w:rsidRPr="004F1088">
              <w:rPr>
                <w:i/>
                <w:iCs/>
                <w:color w:val="156082" w:themeColor="accent1"/>
                <w:sz w:val="24"/>
                <w:szCs w:val="24"/>
                <w:lang w:val="lv-LV"/>
              </w:rPr>
              <w:t>) par subjekta rīcībā esošo zinātnisko kapacitāti, kas apliecina spēju īstenot plānojamo pētniecību vai sniedz informāciju par:</w:t>
            </w:r>
          </w:p>
          <w:p w14:paraId="22FF95C5" w14:textId="77777777" w:rsidR="004F1088" w:rsidRPr="004F1088" w:rsidRDefault="004F1088" w:rsidP="004F1088">
            <w:pPr>
              <w:pStyle w:val="ListParagraph"/>
              <w:widowControl/>
              <w:numPr>
                <w:ilvl w:val="0"/>
                <w:numId w:val="2"/>
              </w:numPr>
              <w:spacing w:after="0" w:line="240" w:lineRule="auto"/>
              <w:jc w:val="both"/>
              <w:rPr>
                <w:i/>
                <w:iCs/>
                <w:color w:val="156082" w:themeColor="accent1"/>
                <w:sz w:val="24"/>
                <w:szCs w:val="24"/>
                <w:lang w:val="lv-LV"/>
              </w:rPr>
            </w:pPr>
            <w:r w:rsidRPr="004F1088">
              <w:rPr>
                <w:i/>
                <w:iCs/>
                <w:color w:val="156082" w:themeColor="accent1"/>
                <w:sz w:val="24"/>
                <w:szCs w:val="24"/>
                <w:lang w:val="lv-LV"/>
              </w:rPr>
              <w:t>zinātnisko personālu (noslēgtiem darba/ uzņēmuma līgumiem, vai citu zinātniskā personāla piesaistes veidu);</w:t>
            </w:r>
          </w:p>
          <w:p w14:paraId="42215DCA" w14:textId="77777777" w:rsidR="004F1088" w:rsidRPr="004F1088" w:rsidRDefault="004F1088" w:rsidP="004F1088">
            <w:pPr>
              <w:pStyle w:val="ListParagraph"/>
              <w:widowControl/>
              <w:numPr>
                <w:ilvl w:val="0"/>
                <w:numId w:val="2"/>
              </w:numPr>
              <w:spacing w:after="0" w:line="240" w:lineRule="auto"/>
              <w:jc w:val="both"/>
              <w:rPr>
                <w:i/>
                <w:iCs/>
                <w:color w:val="156082" w:themeColor="accent1"/>
                <w:sz w:val="24"/>
                <w:szCs w:val="24"/>
                <w:lang w:val="lv-LV"/>
              </w:rPr>
            </w:pPr>
            <w:r w:rsidRPr="004F1088">
              <w:rPr>
                <w:i/>
                <w:iCs/>
                <w:color w:val="156082" w:themeColor="accent1"/>
                <w:sz w:val="24"/>
                <w:szCs w:val="24"/>
                <w:lang w:val="lv-LV"/>
              </w:rPr>
              <w:lastRenderedPageBreak/>
              <w:t>pētniecības infrastruktūru - 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p>
          <w:p w14:paraId="1517EEB5" w14:textId="77777777" w:rsidR="004F1088" w:rsidRPr="004F1088" w:rsidRDefault="004F1088" w:rsidP="00604FE5">
            <w:pPr>
              <w:ind w:left="60"/>
              <w:jc w:val="both"/>
              <w:rPr>
                <w:i/>
                <w:iCs/>
                <w:color w:val="156082" w:themeColor="accent1"/>
                <w:sz w:val="24"/>
                <w:szCs w:val="24"/>
                <w:lang w:val="lv-LV"/>
              </w:rPr>
            </w:pPr>
          </w:p>
          <w:p w14:paraId="522D4927" w14:textId="77777777" w:rsidR="004F1088" w:rsidRPr="004F1088" w:rsidRDefault="004F1088" w:rsidP="00604FE5">
            <w:pPr>
              <w:ind w:left="60"/>
              <w:jc w:val="both"/>
              <w:rPr>
                <w:i/>
                <w:iCs/>
                <w:color w:val="156082" w:themeColor="accent1"/>
                <w:sz w:val="24"/>
                <w:szCs w:val="24"/>
                <w:lang w:val="lv-LV"/>
              </w:rPr>
            </w:pPr>
            <w:r w:rsidRPr="004F1088">
              <w:rPr>
                <w:i/>
                <w:iCs/>
                <w:color w:val="156082" w:themeColor="accent1"/>
                <w:sz w:val="24"/>
                <w:szCs w:val="24"/>
                <w:lang w:val="lv-LV"/>
              </w:rPr>
              <w:t xml:space="preserve">Minēto informāciju var sniegt, norādot saites un avotus, kur pieejama minētā informācija, vai iesniegt to kopā ar apliecinājumu. </w:t>
            </w:r>
          </w:p>
        </w:tc>
      </w:tr>
      <w:bookmarkEnd w:id="2"/>
    </w:tbl>
    <w:p w14:paraId="2632314F" w14:textId="77777777" w:rsidR="004F1088" w:rsidRPr="004F1088" w:rsidRDefault="004F1088" w:rsidP="004F1088">
      <w:pPr>
        <w:spacing w:after="0" w:line="240" w:lineRule="auto"/>
        <w:rPr>
          <w:rFonts w:ascii="Times New Roman" w:hAnsi="Times New Roman"/>
          <w:b/>
          <w:bCs/>
          <w:sz w:val="24"/>
          <w:szCs w:val="24"/>
          <w:lang w:val="lv-LV"/>
        </w:rPr>
      </w:pPr>
    </w:p>
    <w:p w14:paraId="6E9A718C" w14:textId="77777777" w:rsidR="004F1088" w:rsidRPr="004F1088" w:rsidRDefault="004F1088" w:rsidP="004F1088">
      <w:pPr>
        <w:pStyle w:val="Heading1"/>
        <w:numPr>
          <w:ilvl w:val="0"/>
          <w:numId w:val="1"/>
        </w:numPr>
        <w:tabs>
          <w:tab w:val="num" w:pos="360"/>
        </w:tabs>
        <w:spacing w:before="0" w:line="240" w:lineRule="auto"/>
        <w:ind w:left="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Saimnieciskās darbības finansējuma, izmaksu un ieņēmumu atsevišķa uzskaite</w:t>
      </w:r>
    </w:p>
    <w:tbl>
      <w:tblPr>
        <w:tblStyle w:val="TableGrid"/>
        <w:tblW w:w="8976" w:type="dxa"/>
        <w:tblInd w:w="-5" w:type="dxa"/>
        <w:tblLook w:val="04A0" w:firstRow="1" w:lastRow="0" w:firstColumn="1" w:lastColumn="0" w:noHBand="0" w:noVBand="1"/>
      </w:tblPr>
      <w:tblGrid>
        <w:gridCol w:w="8976"/>
      </w:tblGrid>
      <w:tr w:rsidR="004F1088" w:rsidRPr="004F1088" w14:paraId="333D8B1B" w14:textId="77777777" w:rsidTr="00604FE5">
        <w:trPr>
          <w:trHeight w:val="540"/>
        </w:trPr>
        <w:tc>
          <w:tcPr>
            <w:tcW w:w="8976" w:type="dxa"/>
          </w:tcPr>
          <w:p w14:paraId="3602FD7F"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Ja subjekts veic arī saimniecisko darbību, apliecina, ka saimnieciskās darbības finansējums, izmaksas un ieņēmumi tiek/ tiks uzskaitīti atsevišķi no nesaimnieciskās darbības.</w:t>
            </w:r>
          </w:p>
          <w:p w14:paraId="2BC3D1DF"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Sniedz atsauces uz subjekta grāmatvedības politiku (norādot konkrētu sadaļu, lpp.), kur iekļauta attiecīga prasība.</w:t>
            </w:r>
          </w:p>
          <w:p w14:paraId="12571E99" w14:textId="77777777" w:rsidR="004F1088" w:rsidRPr="004F1088" w:rsidRDefault="004F1088" w:rsidP="00604FE5">
            <w:pPr>
              <w:jc w:val="both"/>
              <w:rPr>
                <w:i/>
                <w:iCs/>
                <w:sz w:val="24"/>
                <w:szCs w:val="24"/>
                <w:lang w:val="lv-LV"/>
              </w:rPr>
            </w:pPr>
            <w:r w:rsidRPr="004F1088">
              <w:rPr>
                <w:i/>
                <w:iCs/>
                <w:color w:val="156082" w:themeColor="accent1"/>
                <w:sz w:val="24"/>
                <w:szCs w:val="24"/>
                <w:lang w:val="lv-LV"/>
              </w:rPr>
              <w:t>! Grāmatvedības politiku iesniedz kopā ar apliecinājumu.</w:t>
            </w:r>
          </w:p>
        </w:tc>
      </w:tr>
    </w:tbl>
    <w:p w14:paraId="5B0E5523" w14:textId="77777777" w:rsidR="004F1088" w:rsidRPr="004F1088" w:rsidRDefault="004F1088" w:rsidP="004F1088">
      <w:pPr>
        <w:spacing w:after="0" w:line="240" w:lineRule="auto"/>
        <w:rPr>
          <w:rFonts w:ascii="Times New Roman" w:hAnsi="Times New Roman"/>
          <w:sz w:val="24"/>
          <w:szCs w:val="24"/>
          <w:lang w:val="lv-LV"/>
        </w:rPr>
      </w:pPr>
    </w:p>
    <w:p w14:paraId="4FE500BF" w14:textId="77777777" w:rsidR="004F1088" w:rsidRPr="004F1088" w:rsidRDefault="004F1088" w:rsidP="004F1088">
      <w:pPr>
        <w:pStyle w:val="Heading1"/>
        <w:numPr>
          <w:ilvl w:val="0"/>
          <w:numId w:val="1"/>
        </w:numPr>
        <w:tabs>
          <w:tab w:val="num" w:pos="360"/>
        </w:tabs>
        <w:spacing w:before="0" w:line="240" w:lineRule="auto"/>
        <w:ind w:left="360"/>
        <w:rPr>
          <w:rFonts w:ascii="Times New Roman" w:hAnsi="Times New Roman" w:cs="Times New Roman"/>
          <w:b/>
          <w:bCs/>
          <w:color w:val="auto"/>
          <w:sz w:val="24"/>
          <w:szCs w:val="24"/>
          <w:lang w:val="lv-LV"/>
        </w:rPr>
      </w:pPr>
      <w:r w:rsidRPr="004F1088">
        <w:rPr>
          <w:rFonts w:ascii="Times New Roman" w:hAnsi="Times New Roman" w:cs="Times New Roman"/>
          <w:b/>
          <w:bCs/>
          <w:color w:val="auto"/>
          <w:sz w:val="24"/>
          <w:szCs w:val="24"/>
          <w:lang w:val="lv-LV"/>
        </w:rPr>
        <w:t>Priviliģētas piekļuves radītajiem rezultātiem neesamība</w:t>
      </w:r>
    </w:p>
    <w:tbl>
      <w:tblPr>
        <w:tblStyle w:val="TableGrid"/>
        <w:tblW w:w="9006" w:type="dxa"/>
        <w:tblInd w:w="-5" w:type="dxa"/>
        <w:tblLook w:val="04A0" w:firstRow="1" w:lastRow="0" w:firstColumn="1" w:lastColumn="0" w:noHBand="0" w:noVBand="1"/>
      </w:tblPr>
      <w:tblGrid>
        <w:gridCol w:w="9006"/>
      </w:tblGrid>
      <w:tr w:rsidR="004F1088" w:rsidRPr="004F1088" w14:paraId="76CFB351" w14:textId="77777777" w:rsidTr="00604FE5">
        <w:trPr>
          <w:trHeight w:val="3640"/>
        </w:trPr>
        <w:tc>
          <w:tcPr>
            <w:tcW w:w="9006" w:type="dxa"/>
          </w:tcPr>
          <w:p w14:paraId="1F5A81D8"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Sniedz atsauces uz subjekta darbību reglamentējošo dokumentu (grāmatvedības politiku, intelektuālā īpašuma politiku vai citu dokumentu, norādot konkrētu sadaļu, lpp.), kas apliecina, ka:</w:t>
            </w:r>
          </w:p>
          <w:p w14:paraId="6E3408DE" w14:textId="77777777" w:rsidR="004F1088" w:rsidRPr="004F1088" w:rsidRDefault="004F1088" w:rsidP="004F1088">
            <w:pPr>
              <w:pStyle w:val="ListParagraph"/>
              <w:widowControl/>
              <w:numPr>
                <w:ilvl w:val="0"/>
                <w:numId w:val="2"/>
              </w:numPr>
              <w:spacing w:after="0" w:line="240" w:lineRule="auto"/>
              <w:jc w:val="both"/>
              <w:rPr>
                <w:i/>
                <w:iCs/>
                <w:color w:val="156082" w:themeColor="accent1"/>
                <w:sz w:val="24"/>
                <w:szCs w:val="24"/>
                <w:lang w:val="lv-LV"/>
              </w:rPr>
            </w:pPr>
            <w:r w:rsidRPr="004F1088">
              <w:rPr>
                <w:i/>
                <w:iCs/>
                <w:color w:val="156082" w:themeColor="accent1"/>
                <w:sz w:val="24"/>
                <w:szCs w:val="24"/>
                <w:lang w:val="lv-LV"/>
              </w:rPr>
              <w:t>uzņēmumiem, kas var izšķiroši ietekmēt šo subjektu, piemēram, būdami tā akcionāri vai dalībnieki, nav piekļuves priekšrocību šā subjekta radītajiem pētniecības rezultātiem;</w:t>
            </w:r>
          </w:p>
          <w:p w14:paraId="5D451ED6" w14:textId="77777777" w:rsidR="004F1088" w:rsidRPr="004F1088" w:rsidRDefault="004F1088" w:rsidP="004F1088">
            <w:pPr>
              <w:pStyle w:val="ListParagraph"/>
              <w:widowControl/>
              <w:numPr>
                <w:ilvl w:val="0"/>
                <w:numId w:val="2"/>
              </w:numPr>
              <w:spacing w:after="0" w:line="240" w:lineRule="auto"/>
              <w:jc w:val="both"/>
              <w:rPr>
                <w:i/>
                <w:iCs/>
                <w:color w:val="156082" w:themeColor="accent1"/>
                <w:sz w:val="24"/>
                <w:szCs w:val="24"/>
                <w:lang w:val="lv-LV"/>
              </w:rPr>
            </w:pPr>
            <w:r w:rsidRPr="004F1088">
              <w:rPr>
                <w:i/>
                <w:iCs/>
                <w:color w:val="156082" w:themeColor="accent1"/>
                <w:sz w:val="24"/>
                <w:szCs w:val="24"/>
                <w:lang w:val="lv-LV"/>
              </w:rPr>
              <w:t>ir nodrošināta brīva piekļuve publikācijām (attiecībā uz rezultātiem, kas nerada intelektuālā īpašuma tiesības);</w:t>
            </w:r>
          </w:p>
          <w:p w14:paraId="3FBCF10D" w14:textId="77777777" w:rsidR="004F1088" w:rsidRPr="004F1088" w:rsidRDefault="004F1088" w:rsidP="004F1088">
            <w:pPr>
              <w:pStyle w:val="ListParagraph"/>
              <w:widowControl/>
              <w:numPr>
                <w:ilvl w:val="0"/>
                <w:numId w:val="2"/>
              </w:numPr>
              <w:spacing w:after="0" w:line="240" w:lineRule="auto"/>
              <w:jc w:val="both"/>
              <w:rPr>
                <w:i/>
                <w:iCs/>
                <w:color w:val="156082" w:themeColor="accent1"/>
                <w:sz w:val="24"/>
                <w:szCs w:val="24"/>
                <w:lang w:val="lv-LV"/>
              </w:rPr>
            </w:pPr>
            <w:r w:rsidRPr="004F1088">
              <w:rPr>
                <w:i/>
                <w:iCs/>
                <w:color w:val="156082" w:themeColor="accent1"/>
                <w:sz w:val="24"/>
                <w:szCs w:val="24"/>
                <w:lang w:val="lv-LV"/>
              </w:rPr>
              <w:t xml:space="preserve">intelektuālā īpašuma atsavināšanas gadījumā tiek nodrošināts vienlīdzības princips, piemēram, publiskā izsolē vai atbilstoši ārējam normatīvajam regulējumam par intelektuālā īpašuma </w:t>
            </w:r>
            <w:proofErr w:type="spellStart"/>
            <w:r w:rsidRPr="004F1088">
              <w:rPr>
                <w:i/>
                <w:iCs/>
                <w:color w:val="156082" w:themeColor="accent1"/>
                <w:sz w:val="24"/>
                <w:szCs w:val="24"/>
                <w:lang w:val="lv-LV"/>
              </w:rPr>
              <w:t>komercializāciju</w:t>
            </w:r>
            <w:proofErr w:type="spellEnd"/>
            <w:r w:rsidRPr="004F1088">
              <w:rPr>
                <w:i/>
                <w:iCs/>
                <w:color w:val="156082" w:themeColor="accent1"/>
                <w:sz w:val="24"/>
                <w:szCs w:val="24"/>
                <w:lang w:val="lv-LV"/>
              </w:rPr>
              <w:t>.</w:t>
            </w:r>
          </w:p>
          <w:p w14:paraId="4E785C7C" w14:textId="77777777" w:rsidR="004F1088" w:rsidRPr="004F1088" w:rsidRDefault="004F1088" w:rsidP="00604FE5">
            <w:pPr>
              <w:pStyle w:val="ListParagraph"/>
              <w:ind w:left="420"/>
              <w:jc w:val="both"/>
              <w:rPr>
                <w:color w:val="156082" w:themeColor="accent1"/>
                <w:sz w:val="24"/>
                <w:szCs w:val="24"/>
                <w:lang w:val="lv-LV"/>
              </w:rPr>
            </w:pPr>
          </w:p>
          <w:p w14:paraId="7A80D5F0" w14:textId="77777777" w:rsidR="004F1088" w:rsidRPr="004F1088" w:rsidRDefault="004F1088" w:rsidP="00604FE5">
            <w:pPr>
              <w:jc w:val="both"/>
              <w:rPr>
                <w:i/>
                <w:iCs/>
                <w:color w:val="156082" w:themeColor="accent1"/>
                <w:sz w:val="24"/>
                <w:szCs w:val="24"/>
                <w:lang w:val="lv-LV"/>
              </w:rPr>
            </w:pPr>
            <w:r w:rsidRPr="004F1088">
              <w:rPr>
                <w:i/>
                <w:iCs/>
                <w:color w:val="156082" w:themeColor="accent1"/>
                <w:sz w:val="24"/>
                <w:szCs w:val="24"/>
                <w:lang w:val="lv-LV"/>
              </w:rPr>
              <w:t xml:space="preserve">! Ievieto saites un avotus uz dokumentiem, ja tie pieejami publiski. </w:t>
            </w:r>
          </w:p>
          <w:p w14:paraId="3B9C50AC" w14:textId="77777777" w:rsidR="004F1088" w:rsidRPr="004F1088" w:rsidRDefault="004F1088" w:rsidP="00604FE5">
            <w:pPr>
              <w:jc w:val="both"/>
              <w:rPr>
                <w:i/>
                <w:iCs/>
                <w:sz w:val="24"/>
                <w:szCs w:val="24"/>
                <w:lang w:val="lv-LV"/>
              </w:rPr>
            </w:pPr>
            <w:r w:rsidRPr="004F1088">
              <w:rPr>
                <w:i/>
                <w:iCs/>
                <w:color w:val="156082" w:themeColor="accent1"/>
                <w:sz w:val="24"/>
                <w:szCs w:val="24"/>
                <w:lang w:val="lv-LV"/>
              </w:rPr>
              <w:t>! Iesniedz kopā ar apliecinājumu dokumentus, kas nav pieejami publiski.</w:t>
            </w:r>
          </w:p>
        </w:tc>
      </w:tr>
    </w:tbl>
    <w:p w14:paraId="5C00D0D1" w14:textId="77777777" w:rsidR="004F1088" w:rsidRPr="004F1088" w:rsidRDefault="004F1088" w:rsidP="004F1088">
      <w:pPr>
        <w:spacing w:before="120" w:after="0"/>
        <w:rPr>
          <w:rFonts w:ascii="Times New Roman" w:hAnsi="Times New Roman"/>
          <w:b/>
          <w:bCs/>
          <w:sz w:val="24"/>
          <w:szCs w:val="24"/>
          <w:lang w:val="lv-LV"/>
        </w:rPr>
      </w:pPr>
    </w:p>
    <w:p w14:paraId="2657CD13" w14:textId="77777777" w:rsidR="004F1088" w:rsidRPr="004F1088" w:rsidRDefault="004F1088" w:rsidP="004F1088">
      <w:pPr>
        <w:jc w:val="both"/>
        <w:rPr>
          <w:bCs/>
          <w:lang w:val="lv-LV"/>
        </w:rPr>
      </w:pPr>
    </w:p>
    <w:p w14:paraId="11632201" w14:textId="77777777" w:rsidR="004F1088" w:rsidRPr="004F1088" w:rsidRDefault="004F1088" w:rsidP="004F1088">
      <w:pPr>
        <w:jc w:val="both"/>
        <w:rPr>
          <w:bCs/>
          <w:lang w:val="lv-LV"/>
        </w:rPr>
      </w:pPr>
      <w:r w:rsidRPr="004F1088">
        <w:rPr>
          <w:bCs/>
          <w:lang w:val="lv-LV"/>
        </w:rPr>
        <w:t>__________________________________________</w:t>
      </w:r>
    </w:p>
    <w:p w14:paraId="509E9F1F" w14:textId="7C8DC1F1" w:rsidR="00E5538C" w:rsidRPr="004F1088" w:rsidRDefault="004F1088" w:rsidP="004F1088">
      <w:pPr>
        <w:jc w:val="both"/>
        <w:rPr>
          <w:bCs/>
          <w:i/>
          <w:iCs/>
          <w:lang w:val="lv-LV"/>
        </w:rPr>
      </w:pPr>
      <w:proofErr w:type="spellStart"/>
      <w:r w:rsidRPr="004F1088">
        <w:rPr>
          <w:bCs/>
          <w:i/>
          <w:iCs/>
          <w:lang w:val="lv-LV"/>
        </w:rPr>
        <w:t>Paraksttiesīgās</w:t>
      </w:r>
      <w:proofErr w:type="spellEnd"/>
      <w:r w:rsidRPr="004F1088">
        <w:rPr>
          <w:bCs/>
          <w:i/>
          <w:iCs/>
          <w:lang w:val="lv-LV"/>
        </w:rPr>
        <w:t xml:space="preserve"> personas vārds, uzvārds, amats</w:t>
      </w:r>
    </w:p>
    <w:sectPr w:rsidR="00E5538C" w:rsidRPr="004F1088" w:rsidSect="004F108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1F93" w14:textId="77777777" w:rsidR="004F1088" w:rsidRDefault="004F1088" w:rsidP="004F1088">
      <w:pPr>
        <w:spacing w:after="0" w:line="240" w:lineRule="auto"/>
      </w:pPr>
      <w:r>
        <w:separator/>
      </w:r>
    </w:p>
  </w:endnote>
  <w:endnote w:type="continuationSeparator" w:id="0">
    <w:p w14:paraId="4C440FC7" w14:textId="77777777" w:rsidR="004F1088" w:rsidRDefault="004F1088" w:rsidP="004F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F0E8" w14:textId="77777777" w:rsidR="004F1088" w:rsidRDefault="004F1088" w:rsidP="004F1088">
      <w:pPr>
        <w:spacing w:after="0" w:line="240" w:lineRule="auto"/>
      </w:pPr>
      <w:r>
        <w:separator/>
      </w:r>
    </w:p>
  </w:footnote>
  <w:footnote w:type="continuationSeparator" w:id="0">
    <w:p w14:paraId="3E5B0264" w14:textId="77777777" w:rsidR="004F1088" w:rsidRDefault="004F1088" w:rsidP="004F1088">
      <w:pPr>
        <w:spacing w:after="0" w:line="240" w:lineRule="auto"/>
      </w:pPr>
      <w:r>
        <w:continuationSeparator/>
      </w:r>
    </w:p>
  </w:footnote>
  <w:footnote w:id="1">
    <w:p w14:paraId="7022CBF3" w14:textId="77777777" w:rsidR="004F1088" w:rsidRPr="006C4A5E" w:rsidRDefault="004F1088" w:rsidP="004F1088">
      <w:pPr>
        <w:pStyle w:val="FootnoteText"/>
        <w:jc w:val="both"/>
        <w:rPr>
          <w:rFonts w:ascii="Times New Roman" w:hAnsi="Times New Roman"/>
          <w:sz w:val="18"/>
          <w:szCs w:val="18"/>
        </w:rPr>
      </w:pPr>
      <w:r w:rsidRPr="000559C0">
        <w:rPr>
          <w:rStyle w:val="FootnoteReference"/>
          <w:rFonts w:ascii="Times New Roman" w:hAnsi="Times New Roman"/>
          <w:sz w:val="18"/>
          <w:szCs w:val="18"/>
        </w:rPr>
        <w:footnoteRef/>
      </w:r>
      <w:r w:rsidRPr="000559C0">
        <w:rPr>
          <w:rFonts w:ascii="Times New Roman" w:hAnsi="Times New Roman"/>
          <w:sz w:val="18"/>
          <w:szCs w:val="18"/>
        </w:rPr>
        <w:t xml:space="preserve"> Skat. </w:t>
      </w:r>
      <w:proofErr w:type="spellStart"/>
      <w:r w:rsidRPr="000559C0">
        <w:rPr>
          <w:rFonts w:ascii="Times New Roman" w:eastAsia="Times New Roman" w:hAnsi="Times New Roman"/>
          <w:sz w:val="18"/>
          <w:szCs w:val="18"/>
        </w:rPr>
        <w:t>Ministru</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kabineta</w:t>
      </w:r>
      <w:proofErr w:type="spellEnd"/>
      <w:r w:rsidRPr="000559C0">
        <w:rPr>
          <w:rFonts w:ascii="Times New Roman" w:eastAsia="Times New Roman" w:hAnsi="Times New Roman"/>
          <w:sz w:val="18"/>
          <w:szCs w:val="18"/>
        </w:rPr>
        <w:t xml:space="preserve"> 2017. gada 27. </w:t>
      </w:r>
      <w:proofErr w:type="spellStart"/>
      <w:r w:rsidRPr="000559C0">
        <w:rPr>
          <w:rFonts w:ascii="Times New Roman" w:eastAsia="Times New Roman" w:hAnsi="Times New Roman"/>
          <w:sz w:val="18"/>
          <w:szCs w:val="18"/>
        </w:rPr>
        <w:t>jūnija</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noteikumu</w:t>
      </w:r>
      <w:proofErr w:type="spellEnd"/>
      <w:r w:rsidRPr="000559C0">
        <w:rPr>
          <w:rFonts w:ascii="Times New Roman" w:eastAsia="Times New Roman" w:hAnsi="Times New Roman"/>
          <w:sz w:val="18"/>
          <w:szCs w:val="18"/>
        </w:rPr>
        <w:t xml:space="preserve"> Nr. 381</w:t>
      </w:r>
      <w:r w:rsidRPr="000559C0">
        <w:rPr>
          <w:rFonts w:ascii="Times New Roman" w:hAnsi="Times New Roman"/>
          <w:sz w:val="18"/>
          <w:szCs w:val="18"/>
        </w:rPr>
        <w:t xml:space="preserve"> </w:t>
      </w:r>
      <w:r w:rsidRPr="000559C0">
        <w:rPr>
          <w:rFonts w:ascii="Times New Roman" w:eastAsia="Times New Roman" w:hAnsi="Times New Roman"/>
          <w:sz w:val="18"/>
          <w:szCs w:val="18"/>
        </w:rPr>
        <w:t>“</w:t>
      </w:r>
      <w:proofErr w:type="spellStart"/>
      <w:r w:rsidRPr="000559C0">
        <w:rPr>
          <w:rFonts w:ascii="Times New Roman" w:eastAsia="Times New Roman" w:hAnsi="Times New Roman"/>
          <w:sz w:val="18"/>
          <w:szCs w:val="18"/>
        </w:rPr>
        <w:t>Nacionālās</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zinātniskās</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darbības</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informācijas</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sistēmas</w:t>
      </w:r>
      <w:proofErr w:type="spellEnd"/>
      <w:r w:rsidRPr="000559C0">
        <w:rPr>
          <w:rFonts w:ascii="Times New Roman" w:eastAsia="Times New Roman" w:hAnsi="Times New Roman"/>
          <w:sz w:val="18"/>
          <w:szCs w:val="18"/>
        </w:rPr>
        <w:t xml:space="preserve"> </w:t>
      </w:r>
      <w:proofErr w:type="spellStart"/>
      <w:r w:rsidRPr="000559C0">
        <w:rPr>
          <w:rFonts w:ascii="Times New Roman" w:eastAsia="Times New Roman" w:hAnsi="Times New Roman"/>
          <w:sz w:val="18"/>
          <w:szCs w:val="18"/>
        </w:rPr>
        <w:t>noteikumi</w:t>
      </w:r>
      <w:proofErr w:type="spellEnd"/>
      <w:r w:rsidRPr="000559C0">
        <w:rPr>
          <w:rFonts w:ascii="Times New Roman" w:eastAsia="Times New Roman" w:hAnsi="Times New Roman"/>
          <w:sz w:val="18"/>
          <w:szCs w:val="18"/>
        </w:rPr>
        <w:t>”</w:t>
      </w:r>
      <w:r w:rsidRPr="000559C0">
        <w:rPr>
          <w:rFonts w:ascii="Times New Roman" w:hAnsi="Times New Roman"/>
          <w:sz w:val="18"/>
          <w:szCs w:val="18"/>
        </w:rPr>
        <w:t xml:space="preserve"> (</w:t>
      </w:r>
      <w:proofErr w:type="spellStart"/>
      <w:r w:rsidRPr="000559C0">
        <w:rPr>
          <w:rFonts w:ascii="Times New Roman" w:hAnsi="Times New Roman"/>
          <w:sz w:val="18"/>
          <w:szCs w:val="18"/>
        </w:rPr>
        <w:t>turpmāk</w:t>
      </w:r>
      <w:proofErr w:type="spellEnd"/>
      <w:r w:rsidRPr="000559C0">
        <w:rPr>
          <w:rFonts w:ascii="Times New Roman" w:hAnsi="Times New Roman"/>
          <w:sz w:val="18"/>
          <w:szCs w:val="18"/>
        </w:rPr>
        <w:t xml:space="preserve"> – MK </w:t>
      </w:r>
      <w:proofErr w:type="spellStart"/>
      <w:r w:rsidRPr="000559C0">
        <w:rPr>
          <w:rFonts w:ascii="Times New Roman" w:hAnsi="Times New Roman"/>
          <w:sz w:val="18"/>
          <w:szCs w:val="18"/>
        </w:rPr>
        <w:t>noteikumi</w:t>
      </w:r>
      <w:proofErr w:type="spellEnd"/>
      <w:r w:rsidRPr="000559C0">
        <w:rPr>
          <w:rFonts w:ascii="Times New Roman" w:hAnsi="Times New Roman"/>
          <w:sz w:val="18"/>
          <w:szCs w:val="18"/>
        </w:rPr>
        <w:t xml:space="preserve"> Nr. 381) 11.3. </w:t>
      </w:r>
      <w:proofErr w:type="spellStart"/>
      <w:r w:rsidRPr="000559C0">
        <w:rPr>
          <w:rFonts w:ascii="Times New Roman" w:hAnsi="Times New Roman"/>
          <w:sz w:val="18"/>
          <w:szCs w:val="18"/>
        </w:rPr>
        <w:t>apakšpunktu</w:t>
      </w:r>
      <w:proofErr w:type="spellEnd"/>
      <w:r w:rsidRPr="000559C0">
        <w:rPr>
          <w:rFonts w:ascii="Times New Roman" w:hAnsi="Times New Roman"/>
          <w:sz w:val="18"/>
          <w:szCs w:val="18"/>
        </w:rPr>
        <w:t xml:space="preserve">, 11.¹ un </w:t>
      </w:r>
      <w:r w:rsidRPr="000559C0">
        <w:rPr>
          <w:rFonts w:ascii="Times New Roman" w:hAnsi="Times New Roman"/>
          <w:sz w:val="18"/>
          <w:szCs w:val="18"/>
          <w:shd w:val="clear" w:color="auto" w:fill="FFFFFF"/>
        </w:rPr>
        <w:t>34.</w:t>
      </w:r>
      <w:r w:rsidRPr="000559C0">
        <w:rPr>
          <w:rFonts w:ascii="Times New Roman" w:hAnsi="Times New Roman"/>
          <w:sz w:val="18"/>
          <w:szCs w:val="18"/>
          <w:shd w:val="clear" w:color="auto" w:fill="FFFFFF"/>
          <w:vertAlign w:val="superscript"/>
        </w:rPr>
        <w:t>1</w:t>
      </w:r>
      <w:r w:rsidRPr="000559C0">
        <w:rPr>
          <w:rFonts w:ascii="Times New Roman" w:hAnsi="Times New Roman"/>
          <w:sz w:val="18"/>
          <w:szCs w:val="18"/>
          <w:shd w:val="clear" w:color="auto" w:fill="FFFFFF"/>
        </w:rPr>
        <w:t> </w:t>
      </w:r>
      <w:proofErr w:type="spellStart"/>
      <w:r w:rsidRPr="000559C0">
        <w:rPr>
          <w:rFonts w:ascii="Times New Roman" w:hAnsi="Times New Roman"/>
          <w:sz w:val="18"/>
          <w:szCs w:val="18"/>
          <w:shd w:val="clear" w:color="auto" w:fill="FFFFFF"/>
        </w:rPr>
        <w:t>punktu</w:t>
      </w:r>
      <w:proofErr w:type="spellEnd"/>
      <w:r w:rsidRPr="000559C0">
        <w:rPr>
          <w:rFonts w:ascii="Times New Roman" w:hAnsi="Times New Roman"/>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5137114">
    <w:abstractNumId w:val="1"/>
  </w:num>
  <w:num w:numId="2" w16cid:durableId="903182732">
    <w:abstractNumId w:val="0"/>
  </w:num>
  <w:num w:numId="3" w16cid:durableId="919409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88"/>
    <w:rsid w:val="004F1088"/>
    <w:rsid w:val="005B5B2F"/>
    <w:rsid w:val="007528F5"/>
    <w:rsid w:val="00C17954"/>
    <w:rsid w:val="00E5538C"/>
    <w:rsid w:val="00E94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D9E8"/>
  <w15:chartTrackingRefBased/>
  <w15:docId w15:val="{DF60F61B-46C7-4848-BEA6-A1E9F80F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88"/>
    <w:pPr>
      <w:widowControl w:val="0"/>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4F1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1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1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088"/>
    <w:rPr>
      <w:rFonts w:eastAsiaTheme="majorEastAsia" w:cstheme="majorBidi"/>
      <w:color w:val="272727" w:themeColor="text1" w:themeTint="D8"/>
    </w:rPr>
  </w:style>
  <w:style w:type="paragraph" w:styleId="Title">
    <w:name w:val="Title"/>
    <w:basedOn w:val="Normal"/>
    <w:next w:val="Normal"/>
    <w:link w:val="TitleChar"/>
    <w:uiPriority w:val="10"/>
    <w:qFormat/>
    <w:rsid w:val="004F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088"/>
    <w:pPr>
      <w:spacing w:before="160"/>
      <w:jc w:val="center"/>
    </w:pPr>
    <w:rPr>
      <w:i/>
      <w:iCs/>
      <w:color w:val="404040" w:themeColor="text1" w:themeTint="BF"/>
    </w:rPr>
  </w:style>
  <w:style w:type="character" w:customStyle="1" w:styleId="QuoteChar">
    <w:name w:val="Quote Char"/>
    <w:basedOn w:val="DefaultParagraphFont"/>
    <w:link w:val="Quote"/>
    <w:uiPriority w:val="29"/>
    <w:rsid w:val="004F1088"/>
    <w:rPr>
      <w:i/>
      <w:iCs/>
      <w:color w:val="404040" w:themeColor="text1" w:themeTint="BF"/>
    </w:rPr>
  </w:style>
  <w:style w:type="paragraph" w:styleId="ListParagraph">
    <w:name w:val="List Paragraph"/>
    <w:aliases w:val="H&amp;P List Paragraph,2,Strip,Saraksta rindkopa,Colorful List - Accent 12,List Paragraph1,List1,Akapit z listą BS,Saraksta rindkopa1"/>
    <w:basedOn w:val="Normal"/>
    <w:link w:val="ListParagraphChar"/>
    <w:uiPriority w:val="34"/>
    <w:qFormat/>
    <w:rsid w:val="004F1088"/>
    <w:pPr>
      <w:ind w:left="720"/>
      <w:contextualSpacing/>
    </w:pPr>
  </w:style>
  <w:style w:type="character" w:styleId="IntenseEmphasis">
    <w:name w:val="Intense Emphasis"/>
    <w:basedOn w:val="DefaultParagraphFont"/>
    <w:uiPriority w:val="21"/>
    <w:qFormat/>
    <w:rsid w:val="004F1088"/>
    <w:rPr>
      <w:i/>
      <w:iCs/>
      <w:color w:val="0F4761" w:themeColor="accent1" w:themeShade="BF"/>
    </w:rPr>
  </w:style>
  <w:style w:type="paragraph" w:styleId="IntenseQuote">
    <w:name w:val="Intense Quote"/>
    <w:basedOn w:val="Normal"/>
    <w:next w:val="Normal"/>
    <w:link w:val="IntenseQuoteChar"/>
    <w:uiPriority w:val="30"/>
    <w:qFormat/>
    <w:rsid w:val="004F1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088"/>
    <w:rPr>
      <w:i/>
      <w:iCs/>
      <w:color w:val="0F4761" w:themeColor="accent1" w:themeShade="BF"/>
    </w:rPr>
  </w:style>
  <w:style w:type="character" w:styleId="IntenseReference">
    <w:name w:val="Intense Reference"/>
    <w:basedOn w:val="DefaultParagraphFont"/>
    <w:uiPriority w:val="32"/>
    <w:qFormat/>
    <w:rsid w:val="004F1088"/>
    <w:rPr>
      <w:b/>
      <w:bCs/>
      <w:smallCaps/>
      <w:color w:val="0F4761" w:themeColor="accent1" w:themeShade="BF"/>
      <w:spacing w:val="5"/>
    </w:rPr>
  </w:style>
  <w:style w:type="character" w:styleId="Hyperlink">
    <w:name w:val="Hyperlink"/>
    <w:uiPriority w:val="99"/>
    <w:unhideWhenUsed/>
    <w:rsid w:val="004F1088"/>
    <w:rPr>
      <w:color w:val="0000FF"/>
      <w:u w:val="single"/>
    </w:rPr>
  </w:style>
  <w:style w:type="table" w:styleId="TableGrid">
    <w:name w:val="Table Grid"/>
    <w:basedOn w:val="TableNormal"/>
    <w:uiPriority w:val="39"/>
    <w:rsid w:val="004F1088"/>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F1088"/>
    <w:pPr>
      <w:spacing w:after="0" w:line="240" w:lineRule="auto"/>
    </w:pPr>
    <w:rPr>
      <w:sz w:val="20"/>
      <w:szCs w:val="20"/>
    </w:rPr>
  </w:style>
  <w:style w:type="character" w:customStyle="1" w:styleId="FootnoteTextChar">
    <w:name w:val="Footnote Text Char"/>
    <w:basedOn w:val="DefaultParagraphFont"/>
    <w:link w:val="FootnoteText"/>
    <w:rsid w:val="004F1088"/>
    <w:rPr>
      <w:rFonts w:ascii="Calibri" w:eastAsia="Calibri" w:hAnsi="Calibri" w:cs="Times New Roman"/>
      <w:kern w:val="0"/>
      <w:sz w:val="20"/>
      <w:szCs w:val="20"/>
      <w:lang w:val="en-US"/>
    </w:rPr>
  </w:style>
  <w:style w:type="character" w:styleId="FootnoteReference">
    <w:name w:val="footnote reference"/>
    <w:basedOn w:val="DefaultParagraphFont"/>
    <w:unhideWhenUsed/>
    <w:rsid w:val="004F1088"/>
    <w:rPr>
      <w:vertAlign w:val="superscript"/>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
    <w:link w:val="ListParagraph"/>
    <w:uiPriority w:val="34"/>
    <w:qFormat/>
    <w:locked/>
    <w:rsid w:val="004F1088"/>
  </w:style>
  <w:style w:type="character" w:customStyle="1" w:styleId="cf01">
    <w:name w:val="cf01"/>
    <w:basedOn w:val="DefaultParagraphFont"/>
    <w:rsid w:val="004F1088"/>
    <w:rPr>
      <w:rFonts w:ascii="Segoe UI" w:hAnsi="Segoe UI" w:cs="Segoe UI" w:hint="default"/>
      <w:sz w:val="18"/>
      <w:szCs w:val="18"/>
    </w:rPr>
  </w:style>
  <w:style w:type="paragraph" w:customStyle="1" w:styleId="pf0">
    <w:name w:val="pf0"/>
    <w:basedOn w:val="Normal"/>
    <w:rsid w:val="004F1088"/>
    <w:pPr>
      <w:widowControl/>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latvia.gov.lv/" TargetMode="External"/><Relationship Id="rId3" Type="http://schemas.openxmlformats.org/officeDocument/2006/relationships/settings" Target="settings.xml"/><Relationship Id="rId7" Type="http://schemas.openxmlformats.org/officeDocument/2006/relationships/hyperlink" Target="https://sciencelatvi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4517</Words>
  <Characters>2576</Characters>
  <Application>Microsoft Office Word</Application>
  <DocSecurity>0</DocSecurity>
  <Lines>21</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Zeidlere</dc:creator>
  <cp:keywords/>
  <dc:description/>
  <cp:lastModifiedBy>Elza Zeidlere</cp:lastModifiedBy>
  <cp:revision>1</cp:revision>
  <dcterms:created xsi:type="dcterms:W3CDTF">2025-03-31T11:14:00Z</dcterms:created>
  <dcterms:modified xsi:type="dcterms:W3CDTF">2025-03-31T11:16:00Z</dcterms:modified>
</cp:coreProperties>
</file>