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D529" w14:textId="3300F87D" w:rsidR="00EE4585" w:rsidRPr="00E4719C" w:rsidRDefault="00F679BD" w:rsidP="00E4719C">
      <w:pPr>
        <w:jc w:val="right"/>
        <w:rPr>
          <w:b/>
          <w:sz w:val="28"/>
          <w:szCs w:val="28"/>
        </w:rPr>
      </w:pPr>
      <w:r>
        <w:rPr>
          <w:b/>
        </w:rPr>
        <w:t>Annex 7</w:t>
      </w:r>
      <w:r>
        <w:rPr>
          <w:b/>
          <w:sz w:val="28"/>
        </w:rPr>
        <w:t xml:space="preserve"> </w:t>
      </w:r>
    </w:p>
    <w:p w14:paraId="44436FC5" w14:textId="77777777" w:rsidR="00EE4585" w:rsidRPr="00E4719C" w:rsidRDefault="003E2AA8" w:rsidP="00E4719C">
      <w:pPr>
        <w:jc w:val="right"/>
      </w:pPr>
      <w:r>
        <w:t xml:space="preserve">to the State Research Programme </w:t>
      </w:r>
    </w:p>
    <w:p w14:paraId="64B69207" w14:textId="77777777" w:rsidR="009C28E6" w:rsidRPr="00E4719C" w:rsidRDefault="003E2AA8" w:rsidP="00E4719C">
      <w:pPr>
        <w:jc w:val="right"/>
        <w:rPr>
          <w:color w:val="000000"/>
        </w:rPr>
      </w:pPr>
      <w:r>
        <w:t>“</w:t>
      </w:r>
      <w:bookmarkStart w:id="0" w:name="_Hlk140070864"/>
      <w:sdt>
        <w:sdtPr>
          <w:id w:val="2060594541"/>
          <w:placeholder>
            <w:docPart w:val="9FD35F6569754809BCF39A6DA99C4BB1"/>
          </w:placeholder>
        </w:sdtPr>
        <w:sdtContent>
          <w:sdt>
            <w:sdtPr>
              <w:id w:val="833116786"/>
              <w:placeholder>
                <w:docPart w:val="F3225BBDF12445C3A16F822795417012"/>
              </w:placeholder>
            </w:sdtPr>
            <w:sdtContent>
              <w:r>
                <w:t>Latvian Studies for the Development of a Latvian and European Society</w:t>
              </w:r>
            </w:sdtContent>
          </w:sdt>
        </w:sdtContent>
      </w:sdt>
      <w:bookmarkEnd w:id="0"/>
      <w:r>
        <w:t>” for 2025-2028</w:t>
      </w:r>
    </w:p>
    <w:p w14:paraId="47699F00" w14:textId="3BAC86A7" w:rsidR="003E2AA8" w:rsidRPr="00E4719C" w:rsidRDefault="003E2AA8" w:rsidP="00E4719C">
      <w:pPr>
        <w:jc w:val="right"/>
      </w:pPr>
      <w:r>
        <w:t>Regulations of the open call for project applications</w:t>
      </w:r>
    </w:p>
    <w:p w14:paraId="73211D85" w14:textId="77777777" w:rsidR="00101067" w:rsidRPr="00E4719C" w:rsidRDefault="00101067" w:rsidP="00E4719C">
      <w:pPr>
        <w:jc w:val="right"/>
        <w:rPr>
          <w:b/>
          <w:lang w:val="lv-LV"/>
        </w:rPr>
      </w:pPr>
    </w:p>
    <w:p w14:paraId="770044C3" w14:textId="3AE16F9B" w:rsidR="00342351" w:rsidRPr="00E4719C" w:rsidRDefault="00342351" w:rsidP="00E4719C">
      <w:pPr>
        <w:jc w:val="center"/>
        <w:rPr>
          <w:b/>
        </w:rPr>
      </w:pPr>
      <w:r>
        <w:rPr>
          <w:b/>
        </w:rPr>
        <w:t xml:space="preserve">Methodology for carrying out the expert assessment </w:t>
      </w:r>
    </w:p>
    <w:p w14:paraId="63F14B45" w14:textId="40AFA8DD" w:rsidR="00EE4585" w:rsidRPr="00E4719C" w:rsidRDefault="00EE4585" w:rsidP="00E4719C">
      <w:pPr>
        <w:jc w:val="center"/>
        <w:rPr>
          <w:b/>
        </w:rPr>
      </w:pPr>
      <w:r>
        <w:rPr>
          <w:b/>
        </w:rPr>
        <w:t xml:space="preserve">(for the Project Proposal, </w:t>
      </w:r>
      <w:sdt>
        <w:sdtPr>
          <w:rPr>
            <w:b/>
          </w:rPr>
          <w:id w:val="1434325959"/>
          <w:placeholder>
            <w:docPart w:val="DefaultPlaceholder_-1854013440"/>
          </w:placeholder>
        </w:sdtPr>
        <w:sdtContent>
          <w:r>
            <w:rPr>
              <w:b/>
            </w:rPr>
            <w:t>Mid-term/</w:t>
          </w:r>
        </w:sdtContent>
      </w:sdt>
      <w:r>
        <w:rPr>
          <w:b/>
        </w:rPr>
        <w:t>Final Scientific Reports of the Project)</w:t>
      </w:r>
    </w:p>
    <w:p w14:paraId="5C9C65F5" w14:textId="77777777" w:rsidR="00342351" w:rsidRPr="00E4719C" w:rsidRDefault="00342351" w:rsidP="00E4719C">
      <w:pPr>
        <w:rPr>
          <w:lang w:val="lv-LV"/>
        </w:rPr>
      </w:pPr>
    </w:p>
    <w:sdt>
      <w:sdtPr>
        <w:rPr>
          <w:rFonts w:ascii="Times New Roman" w:eastAsia="Times New Roman" w:hAnsi="Times New Roman" w:cs="Times New Roman"/>
          <w:color w:val="auto"/>
          <w:sz w:val="24"/>
          <w:lang w:bidi="en-US"/>
        </w:rPr>
        <w:id w:val="2399772"/>
        <w:docPartObj>
          <w:docPartGallery w:val="Table of Contents"/>
          <w:docPartUnique/>
        </w:docPartObj>
      </w:sdtPr>
      <w:sdtContent>
        <w:p w14:paraId="7EC3BC8F" w14:textId="64FD9167" w:rsidR="00F03254" w:rsidRPr="00E4719C" w:rsidRDefault="00F03254" w:rsidP="00E4719C">
          <w:pPr>
            <w:pStyle w:val="TOCHeading"/>
            <w:rPr>
              <w:rFonts w:ascii="Times New Roman" w:hAnsi="Times New Roman" w:cs="Times New Roman"/>
              <w:color w:val="auto"/>
            </w:rPr>
          </w:pPr>
          <w:r>
            <w:rPr>
              <w:rFonts w:ascii="Times New Roman" w:hAnsi="Times New Roman"/>
              <w:color w:val="auto"/>
            </w:rPr>
            <w:t xml:space="preserve">Contents </w:t>
          </w:r>
        </w:p>
        <w:p w14:paraId="3625BFB2" w14:textId="59CE8C0D" w:rsidR="00F03254" w:rsidRPr="00E4719C" w:rsidRDefault="00F03254" w:rsidP="00E4719C">
          <w:pPr>
            <w:pStyle w:val="TOC1"/>
          </w:pPr>
          <w:r>
            <w:t>Introduction</w:t>
          </w:r>
          <w:r>
            <w:ptab w:relativeTo="margin" w:alignment="right" w:leader="dot"/>
          </w:r>
          <w:r>
            <w:t>1</w:t>
          </w:r>
        </w:p>
        <w:p w14:paraId="6137F258" w14:textId="089A35CB" w:rsidR="00F03254" w:rsidRPr="00E4719C" w:rsidRDefault="00F03254" w:rsidP="00E4719C">
          <w:pPr>
            <w:pStyle w:val="TOC2"/>
          </w:pPr>
          <w:r>
            <w:t>1 Definitions of Terms</w:t>
          </w:r>
          <w:r>
            <w:ptab w:relativeTo="margin" w:alignment="right" w:leader="dot"/>
          </w:r>
          <w:r>
            <w:t>2</w:t>
          </w:r>
        </w:p>
        <w:p w14:paraId="3A58FC46" w14:textId="773C72B7" w:rsidR="00F03254" w:rsidRPr="00E4719C" w:rsidRDefault="00F03254" w:rsidP="00E4719C">
          <w:pPr>
            <w:pStyle w:val="TOC3"/>
            <w:rPr>
              <w:rFonts w:ascii="Times New Roman" w:hAnsi="Times New Roman"/>
              <w:sz w:val="24"/>
              <w:szCs w:val="24"/>
            </w:rPr>
          </w:pPr>
          <w:r>
            <w:rPr>
              <w:rFonts w:ascii="Times New Roman" w:hAnsi="Times New Roman"/>
              <w:sz w:val="24"/>
            </w:rPr>
            <w:t>2 Scientific Expert Evaluation of the Project Proposal</w:t>
          </w:r>
          <w:r>
            <w:rPr>
              <w:rFonts w:ascii="Times New Roman" w:hAnsi="Times New Roman"/>
              <w:sz w:val="24"/>
            </w:rPr>
            <w:ptab w:relativeTo="margin" w:alignment="right" w:leader="dot"/>
          </w:r>
          <w:r>
            <w:rPr>
              <w:rFonts w:ascii="Times New Roman" w:hAnsi="Times New Roman"/>
              <w:sz w:val="24"/>
            </w:rPr>
            <w:t>2</w:t>
          </w:r>
        </w:p>
        <w:p w14:paraId="1B8EBC06" w14:textId="77777777" w:rsidR="00F03254" w:rsidRPr="00E4719C" w:rsidRDefault="00F03254" w:rsidP="00E4719C">
          <w:r>
            <w:t>2.1 Individual Evaluation of the Project Proposal……………………………………………………</w:t>
          </w:r>
          <w:proofErr w:type="gramStart"/>
          <w:r>
            <w:t>…..</w:t>
          </w:r>
          <w:proofErr w:type="gramEnd"/>
          <w:r>
            <w:t>4</w:t>
          </w:r>
        </w:p>
        <w:p w14:paraId="6509C260" w14:textId="3156469F" w:rsidR="00F03254" w:rsidRPr="00E4719C" w:rsidRDefault="00F03254" w:rsidP="00941A0F">
          <w:pPr>
            <w:jc w:val="left"/>
          </w:pPr>
          <w:r>
            <w:t>2.2 Consolidated Evaluation of the Project Proposal</w:t>
          </w:r>
          <w:r w:rsidR="00941A0F">
            <w:t xml:space="preserve"> ….</w:t>
          </w:r>
          <w:r w:rsidR="00941A0F">
            <w:t>……………………</w:t>
          </w:r>
          <w:r>
            <w:t>………………………</w:t>
          </w:r>
          <w:proofErr w:type="gramStart"/>
          <w:r>
            <w:t>…..</w:t>
          </w:r>
          <w:proofErr w:type="gramEnd"/>
          <w:r>
            <w:t xml:space="preserve">7 </w:t>
          </w:r>
        </w:p>
        <w:p w14:paraId="02D2EF43" w14:textId="0D39F488" w:rsidR="00F03254" w:rsidRPr="00E4719C" w:rsidRDefault="00F03254" w:rsidP="00E4719C">
          <w:pPr>
            <w:pStyle w:val="TOC1"/>
          </w:pPr>
          <w:r>
            <w:t>3 Scientific Expert Evaluation of the Mid-term and Final Scientific Reports of the Project</w:t>
          </w:r>
          <w:r>
            <w:ptab w:relativeTo="margin" w:alignment="right" w:leader="dot"/>
          </w:r>
          <w:r>
            <w:t>8</w:t>
          </w:r>
        </w:p>
        <w:p w14:paraId="71318B0B" w14:textId="338F9CA5" w:rsidR="00F03254" w:rsidRPr="00E4719C" w:rsidRDefault="00F03254" w:rsidP="00E4719C">
          <w:pPr>
            <w:pStyle w:val="TOC2"/>
          </w:pPr>
          <w:r>
            <w:t>3.1 Individual Evaluation of the Mid-term and Final Scientific Reports of the Project</w:t>
          </w:r>
          <w:r>
            <w:ptab w:relativeTo="margin" w:alignment="right" w:leader="dot"/>
          </w:r>
          <w:r>
            <w:t>8</w:t>
          </w:r>
        </w:p>
        <w:p w14:paraId="4A950F87" w14:textId="77777777" w:rsidR="00F03254" w:rsidRPr="00E4719C" w:rsidRDefault="00F03254" w:rsidP="00E4719C">
          <w:pPr>
            <w:pStyle w:val="TOC3"/>
            <w:rPr>
              <w:rFonts w:ascii="Times New Roman" w:hAnsi="Times New Roman"/>
              <w:sz w:val="24"/>
              <w:szCs w:val="24"/>
            </w:rPr>
          </w:pPr>
          <w:r>
            <w:rPr>
              <w:rFonts w:ascii="Times New Roman" w:hAnsi="Times New Roman"/>
              <w:sz w:val="24"/>
            </w:rPr>
            <w:t>3.2 Consolidated Evaluation of the Mid-term and Final Scientific Reports of the Project</w:t>
          </w:r>
          <w:r>
            <w:rPr>
              <w:rFonts w:ascii="Times New Roman" w:hAnsi="Times New Roman"/>
              <w:sz w:val="24"/>
            </w:rPr>
            <w:ptab w:relativeTo="margin" w:alignment="right" w:leader="dot"/>
          </w:r>
          <w:r>
            <w:rPr>
              <w:rFonts w:ascii="Times New Roman" w:hAnsi="Times New Roman"/>
              <w:sz w:val="24"/>
            </w:rPr>
            <w:t>10</w:t>
          </w:r>
        </w:p>
        <w:p w14:paraId="14B01D90" w14:textId="20546D13" w:rsidR="00F03254" w:rsidRPr="00E4719C" w:rsidRDefault="00F03254" w:rsidP="00941A0F">
          <w:pPr>
            <w:jc w:val="left"/>
          </w:pPr>
          <w:r>
            <w:t xml:space="preserve">3.3 Evaluation of the Objective of the Final Scientific Report of the </w:t>
          </w:r>
          <w:proofErr w:type="gramStart"/>
          <w:r>
            <w:t>Project</w:t>
          </w:r>
          <w:r w:rsidR="00941A0F">
            <w:t xml:space="preserve">  .</w:t>
          </w:r>
          <w:proofErr w:type="gramEnd"/>
          <w:r>
            <w:t>……………………….10</w:t>
          </w:r>
        </w:p>
      </w:sdtContent>
    </w:sdt>
    <w:p w14:paraId="2845663E" w14:textId="77777777" w:rsidR="006E2F6D" w:rsidRPr="00E4719C" w:rsidRDefault="006E2F6D" w:rsidP="00E4719C">
      <w:pPr>
        <w:rPr>
          <w:lang w:val="lv-LV"/>
        </w:rPr>
      </w:pPr>
    </w:p>
    <w:p w14:paraId="58767652" w14:textId="4CE4E140" w:rsidR="00EE5F77" w:rsidRPr="00E4719C" w:rsidRDefault="00EE5F77" w:rsidP="00E4719C">
      <w:pPr>
        <w:pStyle w:val="Heading1"/>
        <w:rPr>
          <w:kern w:val="0"/>
        </w:rPr>
      </w:pPr>
      <w:bookmarkStart w:id="1" w:name="_Toc143245574"/>
      <w:r>
        <w:t>Introduction</w:t>
      </w:r>
      <w:bookmarkEnd w:id="1"/>
    </w:p>
    <w:p w14:paraId="4470F000" w14:textId="1FF9E8AC" w:rsidR="00EE5F77" w:rsidRPr="00E4719C" w:rsidRDefault="00EE5F77" w:rsidP="00E4719C">
      <w:pPr>
        <w:rPr>
          <w:lang w:val="lv-LV"/>
        </w:rPr>
      </w:pPr>
    </w:p>
    <w:p w14:paraId="3BB404AB" w14:textId="63FABB31" w:rsidR="00EE5F77" w:rsidRPr="00E4719C" w:rsidRDefault="00EE5F77" w:rsidP="00E4719C">
      <w:r>
        <w:tab/>
        <w:t>The “Expert Assessment Methodology” (hereinafter – the methodology) was drafted on the basis of  Cabinet Regulation No. 560 of 4 September 2018 “Procedure for Implementing State Research Programmes” (hereinafter – the Cabinet Regulation) and in compliance with the Cabinet Order No. 559 of 12 September 2025 “On the National Research Programme “Latvian Studies for the Development of a Latvian and European Society for 2025-2028”” (hereinafter – the Cabinet Order) and the regulations (hereinafter – the Regulations) for open call for project applications (hereinafter – the Open Call) of the State Research Programme “</w:t>
      </w:r>
      <w:sdt>
        <w:sdtPr>
          <w:id w:val="599835969"/>
          <w:placeholder>
            <w:docPart w:val="CCEC42790EA844A4B2C66F3BCD050EB2"/>
          </w:placeholder>
        </w:sdtPr>
        <w:sdtContent>
          <w:r>
            <w:t>Latvian Studies for the Development of a Latvian and European Society for 2025-2028</w:t>
          </w:r>
        </w:sdtContent>
      </w:sdt>
      <w:r>
        <w:t>” approved on</w:t>
      </w:r>
      <w:sdt>
        <w:sdtPr>
          <w:id w:val="798882504"/>
          <w:placeholder>
            <w:docPart w:val="DefaultPlaceholder_-1854013440"/>
          </w:placeholder>
        </w:sdtPr>
        <w:sdtContent>
          <w:r>
            <w:t xml:space="preserve"> </w:t>
          </w:r>
        </w:sdtContent>
      </w:sdt>
      <w:r>
        <w:rPr>
          <w:highlight w:val="cyan"/>
        </w:rPr>
        <w:t xml:space="preserve">17 September 2025 </w:t>
      </w:r>
      <w:r>
        <w:t>by the Implementation and Supervision Commission of the “</w:t>
      </w:r>
      <w:sdt>
        <w:sdtPr>
          <w:id w:val="-87932330"/>
          <w:placeholder>
            <w:docPart w:val="E66A7F09379544018F5B8A7CDE508A18"/>
          </w:placeholder>
        </w:sdtPr>
        <w:sdtContent>
          <w:r>
            <w:t>Latvian Studies for the Development of a Latvian and European Society for 2025-2028</w:t>
          </w:r>
        </w:sdtContent>
      </w:sdt>
      <w:r>
        <w:t>” (hereinafter – the Commission”.</w:t>
      </w:r>
    </w:p>
    <w:p w14:paraId="620B6479" w14:textId="77777777" w:rsidR="001A10F3" w:rsidRPr="00E4719C" w:rsidRDefault="001A10F3" w:rsidP="00E4719C">
      <w:pPr>
        <w:rPr>
          <w:lang w:val="lv-LV"/>
        </w:rPr>
      </w:pPr>
    </w:p>
    <w:p w14:paraId="6BBB24D7" w14:textId="79ABEFFE" w:rsidR="00342351" w:rsidRPr="00E4719C" w:rsidRDefault="00342351" w:rsidP="00E4719C">
      <w:r>
        <w:tab/>
        <w:t xml:space="preserve">The Methodology has been developed for the international experts who carry out the scientific evaluation of the Project Proposals, the mid-term </w:t>
      </w:r>
      <w:sdt>
        <w:sdtPr>
          <w:id w:val="-111681809"/>
          <w:placeholder>
            <w:docPart w:val="DefaultPlaceholder_-1854013440"/>
          </w:placeholder>
        </w:sdtPr>
        <w:sdtContent>
          <w:r>
            <w:t>and final</w:t>
          </w:r>
        </w:sdtContent>
      </w:sdt>
      <w:r>
        <w:t xml:space="preserve"> scientific reports of the project.</w:t>
      </w:r>
    </w:p>
    <w:p w14:paraId="2A57622B" w14:textId="77777777" w:rsidR="008C7995" w:rsidRPr="00E4719C" w:rsidRDefault="008C7995" w:rsidP="00E4719C">
      <w:pPr>
        <w:rPr>
          <w:lang w:val="lv-LV"/>
        </w:rPr>
      </w:pPr>
    </w:p>
    <w:p w14:paraId="3CA29E69" w14:textId="77777777" w:rsidR="00C945FD" w:rsidRPr="00E4719C" w:rsidRDefault="00C945FD" w:rsidP="00E4719C">
      <w:pPr>
        <w:ind w:firstLine="720"/>
      </w:pPr>
      <w:r>
        <w:t>According to Section 35, Paragraph one of the Law on Scientific Activity, State research programmes are State commissions for the performance of scientific research in a specific economic, educational, cultural, or other sector of priority to the State with the purpose of promoting the development of such sector.</w:t>
      </w:r>
    </w:p>
    <w:sdt>
      <w:sdtPr>
        <w:rPr>
          <w:rFonts w:eastAsia="Calibri"/>
          <w:i/>
          <w:iCs/>
        </w:rPr>
        <w:id w:val="906582255"/>
        <w:placeholder>
          <w:docPart w:val="08BBB927DD494D5BA478064A10E458C0"/>
        </w:placeholder>
      </w:sdtPr>
      <w:sdtEndPr>
        <w:rPr>
          <w:rFonts w:eastAsia="Times New Roman"/>
          <w:i w:val="0"/>
          <w:iCs w:val="0"/>
        </w:rPr>
      </w:sdtEndPr>
      <w:sdtContent>
        <w:p w14:paraId="70A6E12B" w14:textId="65316477" w:rsidR="005C4C90" w:rsidRPr="00E4719C" w:rsidRDefault="005C4C90" w:rsidP="00E4719C">
          <w:pPr>
            <w:tabs>
              <w:tab w:val="left" w:pos="426"/>
            </w:tabs>
            <w:ind w:right="142" w:firstLine="426"/>
            <w:contextualSpacing/>
            <w:rPr>
              <w:rFonts w:eastAsia="Calibri"/>
            </w:rPr>
          </w:pPr>
          <w:r>
            <w:t>The target audience of the methodology includes project applicants (hereinafter – project applicant) for the State Research Programme “</w:t>
          </w:r>
          <w:sdt>
            <w:sdtPr>
              <w:rPr>
                <w:rFonts w:eastAsia="Calibri"/>
              </w:rPr>
              <w:id w:val="1158731996"/>
              <w:placeholder>
                <w:docPart w:val="66EA4A0BE54B461BA3EF51B168849BEE"/>
              </w:placeholder>
            </w:sdtPr>
            <w:sdtContent>
              <w:r>
                <w:t>Latvian Studies for the Development of a Latvian and European Society</w:t>
              </w:r>
            </w:sdtContent>
          </w:sdt>
          <w:r>
            <w:t>” for 2025-2028 (hereinafter – the Programme) open call (hereinafter – the Tender), who draft project applications and the necessary documentation for submission within the framework of the Open Call.</w:t>
          </w:r>
        </w:p>
        <w:p w14:paraId="4D192BC0" w14:textId="77F1ED81" w:rsidR="005C4C90" w:rsidRPr="00E4719C" w:rsidRDefault="005C4C90" w:rsidP="00E4719C">
          <w:pPr>
            <w:tabs>
              <w:tab w:val="left" w:pos="426"/>
            </w:tabs>
            <w:ind w:right="142"/>
            <w:contextualSpacing/>
            <w:rPr>
              <w:rFonts w:eastAsia="Calibri"/>
            </w:rPr>
          </w:pPr>
          <w:r>
            <w:tab/>
            <w:t xml:space="preserve">As a State commission, the Programme serves as a policy implementation mechanism that identifies and researches matters of importance for the sustainability and development of Latvia, which need to be the focus of the work of Latvian scientific institutions, and defines relevant scientific </w:t>
          </w:r>
          <w:r>
            <w:lastRenderedPageBreak/>
            <w:t>research tasks to address them. In view of the above, the Programme creates favourable conditions for achieving sustainable development goals of Latvia.</w:t>
          </w:r>
        </w:p>
        <w:p w14:paraId="5B57E1C4" w14:textId="3851A746" w:rsidR="005C4C90" w:rsidRPr="00E4719C" w:rsidRDefault="005C4C90" w:rsidP="00E4719C">
          <w:pPr>
            <w:tabs>
              <w:tab w:val="left" w:pos="426"/>
            </w:tabs>
            <w:ind w:right="142"/>
            <w:contextualSpacing/>
            <w:rPr>
              <w:rFonts w:eastAsia="Calibri"/>
              <w:color w:val="000000" w:themeColor="text1"/>
            </w:rPr>
          </w:pPr>
          <w:r>
            <w:tab/>
            <w:t>The Programme will involve a core group of researchers from the fields of linguistics and/or literary studies, computer linguistics and/or history and archaeology, cultural heritage and/or migration and diaspora research and/or sectoral policies to collaborate on the project objective.</w:t>
          </w:r>
        </w:p>
        <w:p w14:paraId="7633D340" w14:textId="54E1E8BD" w:rsidR="00C71BE8" w:rsidRPr="00E4719C" w:rsidRDefault="005C4C90" w:rsidP="00E4719C">
          <w:pPr>
            <w:rPr>
              <w:color w:val="000000"/>
              <w:highlight w:val="yellow"/>
            </w:rPr>
          </w:pPr>
          <w:r>
            <w:tab/>
            <w:t xml:space="preserve">The Programme was created and is funded by the Ministry of Education and Science (hereinafter – the Ministry). State budget funds in the total amount of </w:t>
          </w:r>
          <w:r>
            <w:rPr>
              <w:b/>
              <w:bCs/>
            </w:rPr>
            <w:t>EUR 6,200,000</w:t>
          </w:r>
          <w:r>
            <w:rPr>
              <w:color w:val="333333"/>
            </w:rPr>
            <w:t xml:space="preserve"> have been granted for the implementation of the Programme and the implementation period lasts from 2025 to 2028</w:t>
          </w:r>
          <w:r>
            <w:t xml:space="preserve">. The Open Call for project applications is organised to ensure the implementation of the Programme objectives set out in paragraph 6 of the Cabinet Order. </w:t>
          </w:r>
          <w:r>
            <w:rPr>
              <w:color w:val="000000"/>
            </w:rPr>
            <w:t>The Open Call will finance one project per task with project funding:</w:t>
          </w:r>
        </w:p>
        <w:p w14:paraId="597BC2E0" w14:textId="1235B27F" w:rsidR="00C71BE8" w:rsidRPr="00E4719C" w:rsidRDefault="00C71BE8" w:rsidP="00E4719C">
          <w:pPr>
            <w:pStyle w:val="ListParagraph"/>
            <w:numPr>
              <w:ilvl w:val="0"/>
              <w:numId w:val="26"/>
            </w:numPr>
            <w:rPr>
              <w:i w:val="0"/>
              <w:color w:val="000000"/>
              <w:shd w:val="clear" w:color="auto" w:fill="auto"/>
            </w:rPr>
          </w:pPr>
          <w:r>
            <w:rPr>
              <w:i w:val="0"/>
              <w:color w:val="000000"/>
              <w:shd w:val="clear" w:color="auto" w:fill="auto"/>
            </w:rPr>
            <w:t>Sub-paragraph 6.1 of the Cabinet Order: study of the development and use of the modern Latvian language</w:t>
          </w:r>
        </w:p>
        <w:p w14:paraId="7BEFF9F7" w14:textId="1B6C625D" w:rsidR="00C71BE8" w:rsidRPr="00E4719C" w:rsidRDefault="00C71BE8" w:rsidP="00E4719C">
          <w:pPr>
            <w:pStyle w:val="ListParagraph"/>
            <w:ind w:left="720"/>
            <w:rPr>
              <w:i w:val="0"/>
              <w:color w:val="000000"/>
              <w:shd w:val="clear" w:color="auto" w:fill="auto"/>
            </w:rPr>
          </w:pPr>
          <w:r>
            <w:rPr>
              <w:i w:val="0"/>
              <w:color w:val="000000"/>
              <w:shd w:val="clear" w:color="auto" w:fill="auto"/>
            </w:rPr>
            <w:t>EUR 1,320,600 (one million three hundred and twenty thousand six hundred euro);</w:t>
          </w:r>
        </w:p>
        <w:p w14:paraId="40557CD4" w14:textId="28064FD8" w:rsidR="00C71BE8" w:rsidRPr="00E4719C" w:rsidRDefault="00C71BE8" w:rsidP="00E4719C">
          <w:pPr>
            <w:pStyle w:val="ListParagraph"/>
            <w:numPr>
              <w:ilvl w:val="0"/>
              <w:numId w:val="26"/>
            </w:numPr>
            <w:rPr>
              <w:i w:val="0"/>
              <w:color w:val="000000"/>
              <w:shd w:val="clear" w:color="auto" w:fill="auto"/>
            </w:rPr>
          </w:pPr>
          <w:r>
            <w:rPr>
              <w:i w:val="0"/>
              <w:color w:val="000000"/>
              <w:shd w:val="clear" w:color="auto" w:fill="auto"/>
            </w:rPr>
            <w:t>Sub-paragraph 6.2 of the Cabinet Order: research and development of Latvian language technologies EUR 1,320,600 (one million three hundred and twenty thousand six hundred euro);</w:t>
          </w:r>
        </w:p>
        <w:p w14:paraId="2AA2B3D9" w14:textId="1531E4F1" w:rsidR="00C71BE8" w:rsidRPr="00E4719C" w:rsidRDefault="00C71BE8" w:rsidP="00E4719C">
          <w:pPr>
            <w:pStyle w:val="ListParagraph"/>
            <w:numPr>
              <w:ilvl w:val="0"/>
              <w:numId w:val="26"/>
            </w:numPr>
            <w:rPr>
              <w:i w:val="0"/>
              <w:color w:val="000000"/>
              <w:shd w:val="clear" w:color="auto" w:fill="auto"/>
            </w:rPr>
          </w:pPr>
          <w:r>
            <w:rPr>
              <w:i w:val="0"/>
              <w:color w:val="000000"/>
              <w:shd w:val="clear" w:color="auto" w:fill="auto"/>
            </w:rPr>
            <w:t>Sub-paragraph 6.3 of the Cabinet Order: development of the research base and digital resources for the Liv language EUR 279,000 (two hundred and seventy-nine thousand euro);</w:t>
          </w:r>
        </w:p>
        <w:p w14:paraId="3EDA55B6" w14:textId="70FD6C9C" w:rsidR="00C71BE8" w:rsidRPr="00E4719C" w:rsidRDefault="00C71BE8" w:rsidP="00E4719C">
          <w:pPr>
            <w:pStyle w:val="ListParagraph"/>
            <w:numPr>
              <w:ilvl w:val="0"/>
              <w:numId w:val="26"/>
            </w:numPr>
            <w:rPr>
              <w:i w:val="0"/>
              <w:color w:val="000000"/>
              <w:shd w:val="clear" w:color="auto" w:fill="auto"/>
            </w:rPr>
          </w:pPr>
          <w:r>
            <w:rPr>
              <w:i w:val="0"/>
              <w:color w:val="000000"/>
              <w:shd w:val="clear" w:color="auto" w:fill="auto"/>
            </w:rPr>
            <w:t xml:space="preserve">Sub-paragraph 6.4 of the Cabinet Order: research on demography, </w:t>
          </w:r>
          <w:proofErr w:type="gramStart"/>
          <w:r>
            <w:rPr>
              <w:i w:val="0"/>
              <w:color w:val="000000"/>
              <w:shd w:val="clear" w:color="auto" w:fill="auto"/>
            </w:rPr>
            <w:t>migration</w:t>
          </w:r>
          <w:proofErr w:type="gramEnd"/>
          <w:r>
            <w:rPr>
              <w:i w:val="0"/>
              <w:color w:val="000000"/>
              <w:shd w:val="clear" w:color="auto" w:fill="auto"/>
            </w:rPr>
            <w:t xml:space="preserve"> and re-emigration processes</w:t>
          </w:r>
        </w:p>
        <w:p w14:paraId="591704B4" w14:textId="3628B25D" w:rsidR="00C71BE8" w:rsidRPr="00E4719C" w:rsidRDefault="00C71BE8" w:rsidP="00E4719C">
          <w:pPr>
            <w:pStyle w:val="ListParagraph"/>
            <w:ind w:left="720"/>
            <w:rPr>
              <w:i w:val="0"/>
              <w:color w:val="000000"/>
              <w:shd w:val="clear" w:color="auto" w:fill="auto"/>
            </w:rPr>
          </w:pPr>
          <w:r>
            <w:rPr>
              <w:i w:val="0"/>
              <w:color w:val="000000"/>
              <w:shd w:val="clear" w:color="auto" w:fill="auto"/>
            </w:rPr>
            <w:t>EUR 948,600 (nine hundred and forty-eight thousand six hundred euro);</w:t>
          </w:r>
        </w:p>
        <w:p w14:paraId="631C4235" w14:textId="524F7832" w:rsidR="00C71BE8" w:rsidRPr="00E4719C" w:rsidRDefault="00C71BE8" w:rsidP="00E4719C">
          <w:pPr>
            <w:pStyle w:val="ListParagraph"/>
            <w:numPr>
              <w:ilvl w:val="0"/>
              <w:numId w:val="26"/>
            </w:numPr>
            <w:rPr>
              <w:i w:val="0"/>
              <w:color w:val="000000"/>
              <w:shd w:val="clear" w:color="auto" w:fill="auto"/>
            </w:rPr>
          </w:pPr>
          <w:r>
            <w:rPr>
              <w:i w:val="0"/>
              <w:color w:val="000000"/>
              <w:shd w:val="clear" w:color="auto" w:fill="auto"/>
            </w:rPr>
            <w:t>Sub-paragraph 6.5 of the Cabinet Order: research on Latvian literature and poetics EUR 948,600 (nine hundred and forty-eight thousand six hundred euro);</w:t>
          </w:r>
        </w:p>
        <w:p w14:paraId="3784BA93" w14:textId="4DC2EAE8" w:rsidR="005C53AA" w:rsidRPr="00E4719C" w:rsidRDefault="00C71BE8" w:rsidP="00E4719C">
          <w:pPr>
            <w:pStyle w:val="ListParagraph"/>
            <w:numPr>
              <w:ilvl w:val="0"/>
              <w:numId w:val="26"/>
            </w:numPr>
            <w:rPr>
              <w:i w:val="0"/>
              <w:color w:val="000000"/>
              <w:shd w:val="clear" w:color="auto" w:fill="auto"/>
            </w:rPr>
          </w:pPr>
          <w:r>
            <w:rPr>
              <w:i w:val="0"/>
              <w:color w:val="000000"/>
              <w:shd w:val="clear" w:color="auto" w:fill="auto"/>
            </w:rPr>
            <w:t>Sub-paragraph 6.6 of the Cabinet Order: research on Latvian identity EUR 948,600 (nine hundred forty-eight thousand six hundred euro);</w:t>
          </w:r>
        </w:p>
        <w:p w14:paraId="3670903D" w14:textId="77777777" w:rsidR="005C4C90" w:rsidRPr="00E4719C" w:rsidRDefault="005C4C90" w:rsidP="00E4719C">
          <w:pPr>
            <w:tabs>
              <w:tab w:val="left" w:pos="426"/>
            </w:tabs>
            <w:ind w:right="142"/>
            <w:contextualSpacing/>
            <w:rPr>
              <w:rFonts w:eastAsia="Calibri"/>
              <w:lang w:val="lv-LV" w:bidi="ar-SA"/>
            </w:rPr>
          </w:pPr>
        </w:p>
        <w:p w14:paraId="7FBEAB50" w14:textId="357DDD6F" w:rsidR="00A442D5" w:rsidRPr="00E4719C" w:rsidRDefault="005C4C90" w:rsidP="00E4719C">
          <w:pPr>
            <w:tabs>
              <w:tab w:val="left" w:pos="426"/>
            </w:tabs>
            <w:ind w:right="142"/>
            <w:contextualSpacing/>
          </w:pPr>
          <w:r>
            <w:tab/>
            <w:t xml:space="preserve">According to the Cabinet Order, the main goal of the Programme is to create an inclusive Latvian and European knowledge society in Latvia, based on democratic values, Latvian language and culture, and the stated goal of the Programme is to create new knowledge and solutions to promote sustainable development of Latvian society and state. This includes interdisciplinary research on language, </w:t>
          </w:r>
          <w:proofErr w:type="gramStart"/>
          <w:r>
            <w:t>culture</w:t>
          </w:r>
          <w:proofErr w:type="gramEnd"/>
          <w:r>
            <w:t xml:space="preserve"> and Latvian identity, as well as the development of the necessary human capital.</w:t>
          </w:r>
        </w:p>
        <w:p w14:paraId="56A438B7" w14:textId="77777777" w:rsidR="00A442D5" w:rsidRPr="00E4719C" w:rsidRDefault="00A442D5" w:rsidP="00E4719C">
          <w:pPr>
            <w:rPr>
              <w:lang w:val="lv-LV"/>
            </w:rPr>
          </w:pPr>
        </w:p>
        <w:p w14:paraId="55C4DFEF" w14:textId="20A8F669" w:rsidR="00C71BE8" w:rsidRPr="00E4719C" w:rsidRDefault="00A442D5" w:rsidP="00E4719C">
          <w:pPr>
            <w:ind w:firstLine="720"/>
          </w:pPr>
          <w:r>
            <w:t xml:space="preserve">To achieve the main goal and the objective of the Programme, sub-paragraphs of paragraph 6 of the Cabinet Order define the following research fields of the Programme tasks: </w:t>
          </w:r>
        </w:p>
        <w:p w14:paraId="56D88E01" w14:textId="77777777" w:rsidR="00271332" w:rsidRPr="00E4719C" w:rsidRDefault="00C71BE8" w:rsidP="00E4719C">
          <w:pPr>
            <w:ind w:firstLine="720"/>
          </w:pPr>
          <w:r>
            <w:t>1 study of the development and use of the modern Latvian language. This task shall cover the following research fields:</w:t>
          </w:r>
        </w:p>
        <w:p w14:paraId="3E1F0D23" w14:textId="77777777" w:rsidR="00271332" w:rsidRPr="00E4719C" w:rsidRDefault="00271332" w:rsidP="00E4719C">
          <w:pPr>
            <w:ind w:firstLine="720"/>
          </w:pPr>
          <w:r>
            <w:t>1.1 trends and sociolinguistic aspects of Latvian language development, including literary language varieties (plain language, easy language) and Latvian language development in the diaspora;</w:t>
          </w:r>
        </w:p>
        <w:p w14:paraId="58057C11" w14:textId="77777777" w:rsidR="00271332" w:rsidRPr="00E4719C" w:rsidRDefault="00271332" w:rsidP="00E4719C">
          <w:pPr>
            <w:ind w:firstLine="720"/>
          </w:pPr>
          <w:r>
            <w:t xml:space="preserve">1.2 terminology and </w:t>
          </w:r>
          <w:proofErr w:type="spellStart"/>
          <w:r>
            <w:t>terminography</w:t>
          </w:r>
          <w:proofErr w:type="spellEnd"/>
          <w:r>
            <w:t xml:space="preserve"> of the Latvian;</w:t>
          </w:r>
        </w:p>
        <w:p w14:paraId="5F45D4A9" w14:textId="77777777" w:rsidR="00271332" w:rsidRPr="00E4719C" w:rsidRDefault="00271332" w:rsidP="00E4719C">
          <w:pPr>
            <w:ind w:firstLine="720"/>
          </w:pPr>
          <w:r>
            <w:t xml:space="preserve">1.3 translation science; </w:t>
          </w:r>
        </w:p>
        <w:p w14:paraId="1A8CF9AD" w14:textId="77777777" w:rsidR="00271332" w:rsidRPr="00E4719C" w:rsidRDefault="00271332" w:rsidP="00E4719C">
          <w:pPr>
            <w:ind w:firstLine="720"/>
          </w:pPr>
          <w:r>
            <w:t>1.4 the written language of Latgale region,</w:t>
          </w:r>
        </w:p>
        <w:p w14:paraId="36569BB3" w14:textId="77777777" w:rsidR="00271332" w:rsidRPr="00E4719C" w:rsidRDefault="00271332" w:rsidP="00E4719C">
          <w:pPr>
            <w:ind w:firstLine="720"/>
          </w:pPr>
          <w:r>
            <w:t>1.5 the cultural and historical development of the diversity of the Latvian language and onomastics, including in the context of historical Latvian lands;</w:t>
          </w:r>
        </w:p>
        <w:p w14:paraId="5109F2CB" w14:textId="19CD3C76" w:rsidR="00C71BE8" w:rsidRPr="00E4719C" w:rsidRDefault="00271332" w:rsidP="00E4719C">
          <w:pPr>
            <w:ind w:firstLine="720"/>
          </w:pPr>
          <w:r>
            <w:t>1.6 learning Latvian as a foreign language;</w:t>
          </w:r>
        </w:p>
        <w:p w14:paraId="75128DE3" w14:textId="77777777" w:rsidR="00271332" w:rsidRPr="00E4719C" w:rsidRDefault="00C71BE8" w:rsidP="00E4719C">
          <w:pPr>
            <w:ind w:left="720"/>
          </w:pPr>
          <w:r>
            <w:t xml:space="preserve">2 research and development of Latvian language technologies. This task shall cover the following research fields: 2.1 research and development of generative artificial intelligence tools for use in Latvian; </w:t>
          </w:r>
        </w:p>
        <w:p w14:paraId="181DBE83" w14:textId="77777777" w:rsidR="00271332" w:rsidRPr="00E4719C" w:rsidRDefault="00271332" w:rsidP="00E4719C">
          <w:pPr>
            <w:ind w:left="720"/>
          </w:pPr>
          <w:r>
            <w:t xml:space="preserve">2.2 the development of digital resources of the Latvian language, ensuring their integration into European language resource repositories; </w:t>
          </w:r>
        </w:p>
        <w:p w14:paraId="08BE935B" w14:textId="77777777" w:rsidR="00271332" w:rsidRPr="00E4719C" w:rsidRDefault="00271332" w:rsidP="00E4719C">
          <w:pPr>
            <w:ind w:left="720"/>
          </w:pPr>
          <w:r>
            <w:t>2.3 Latvian language technology solutions, including solutions for people with disabilities;</w:t>
          </w:r>
        </w:p>
        <w:p w14:paraId="05B4282C" w14:textId="61FB8232" w:rsidR="00C71BE8" w:rsidRPr="00E4719C" w:rsidRDefault="00271332" w:rsidP="00E4719C">
          <w:pPr>
            <w:ind w:left="720"/>
          </w:pPr>
          <w:r>
            <w:t>2.4 sign language for the deaf;</w:t>
          </w:r>
        </w:p>
        <w:p w14:paraId="6B75CBF7" w14:textId="355B0EE5" w:rsidR="00C71BE8" w:rsidRPr="00E4719C" w:rsidRDefault="00C71BE8" w:rsidP="00E4719C">
          <w:pPr>
            <w:ind w:firstLine="720"/>
          </w:pPr>
          <w:r>
            <w:lastRenderedPageBreak/>
            <w:t>3 </w:t>
          </w:r>
          <w:proofErr w:type="gramStart"/>
          <w:r>
            <w:t>development</w:t>
          </w:r>
          <w:proofErr w:type="gramEnd"/>
          <w:r>
            <w:t xml:space="preserve"> of the research base and digital resources of the Liv language, promoting the vitality of the Liv language, the development and standardisation of language norms, and ensuring the integration of digital resources of the language into European language resource repositories;</w:t>
          </w:r>
        </w:p>
        <w:p w14:paraId="211EB479" w14:textId="023E757F" w:rsidR="00C71BE8" w:rsidRPr="00E4719C" w:rsidRDefault="00C71BE8" w:rsidP="00E4719C">
          <w:pPr>
            <w:ind w:firstLine="720"/>
          </w:pPr>
          <w:r>
            <w:t xml:space="preserve">4 study of demography, </w:t>
          </w:r>
          <w:proofErr w:type="gramStart"/>
          <w:r>
            <w:t>migration</w:t>
          </w:r>
          <w:proofErr w:type="gramEnd"/>
          <w:r>
            <w:t xml:space="preserve"> and re-emigration processes in the context of contemporary geopolitical, </w:t>
          </w:r>
          <w:proofErr w:type="gramStart"/>
          <w:r>
            <w:t>socio-economic</w:t>
          </w:r>
          <w:proofErr w:type="gramEnd"/>
          <w:r>
            <w:t xml:space="preserve"> and regional changes;</w:t>
          </w:r>
        </w:p>
        <w:p w14:paraId="31FE559B" w14:textId="069003FD" w:rsidR="00C71BE8" w:rsidRPr="00E4719C" w:rsidRDefault="00C71BE8" w:rsidP="00E4719C">
          <w:pPr>
            <w:ind w:firstLine="720"/>
          </w:pPr>
          <w:r>
            <w:t>5 research of Latvian literature and poetics in the perspective of national identity and inclusive society in Latvia and the world, including in the contemporary context, and research of factors influencing the production and consumption of literature in the digital age;</w:t>
          </w:r>
        </w:p>
        <w:p w14:paraId="2B0AB421" w14:textId="77777777" w:rsidR="00271332" w:rsidRPr="00E4719C" w:rsidRDefault="00C71BE8" w:rsidP="00E4719C">
          <w:pPr>
            <w:ind w:firstLine="720"/>
          </w:pPr>
          <w:r>
            <w:t>6 research of Latvian identity. This task shall cover the following research fields:</w:t>
          </w:r>
        </w:p>
        <w:p w14:paraId="1BA92C1A" w14:textId="77777777" w:rsidR="00271332" w:rsidRPr="00E4719C" w:rsidRDefault="00271332" w:rsidP="00E4719C">
          <w:pPr>
            <w:ind w:left="720"/>
          </w:pPr>
          <w:r>
            <w:t xml:space="preserve">6.1 the Latvian identity and its formation in historical and contemporary contexts, including the diaspora; 6.2 contemporary folklore and spiritual traditions in the context of Latvian identity; </w:t>
          </w:r>
        </w:p>
        <w:p w14:paraId="324C7536" w14:textId="77777777" w:rsidR="00271332" w:rsidRPr="00E4719C" w:rsidRDefault="00271332" w:rsidP="00E4719C">
          <w:pPr>
            <w:ind w:left="720"/>
          </w:pPr>
          <w:r>
            <w:t xml:space="preserve">6.3 factors influencing the development of folklore studies; </w:t>
          </w:r>
        </w:p>
        <w:p w14:paraId="0526F860" w14:textId="657ADE46" w:rsidR="00C71BE8" w:rsidRPr="00E4719C" w:rsidRDefault="00271332" w:rsidP="00E4719C">
          <w:pPr>
            <w:ind w:left="720"/>
          </w:pPr>
          <w:r>
            <w:t>6.4 history of ideas.</w:t>
          </w:r>
        </w:p>
        <w:p w14:paraId="4D33EEA3" w14:textId="30C40D1E" w:rsidR="000866B6" w:rsidRPr="00E4719C" w:rsidRDefault="00000000" w:rsidP="00E4719C"/>
      </w:sdtContent>
    </w:sdt>
    <w:p w14:paraId="04DFE8E8" w14:textId="599785D1" w:rsidR="00A8649C" w:rsidRPr="00E4719C" w:rsidRDefault="00EE5F77" w:rsidP="00E4719C">
      <w:pPr>
        <w:pStyle w:val="Heading1"/>
        <w:rPr>
          <w:kern w:val="0"/>
        </w:rPr>
      </w:pPr>
      <w:bookmarkStart w:id="2" w:name="_Toc143245575"/>
      <w:r>
        <w:t>1 Terms Used</w:t>
      </w:r>
      <w:bookmarkEnd w:id="2"/>
    </w:p>
    <w:tbl>
      <w:tblPr>
        <w:tblStyle w:val="TableGrid"/>
        <w:tblW w:w="0" w:type="auto"/>
        <w:tblLook w:val="04A0" w:firstRow="1" w:lastRow="0" w:firstColumn="1" w:lastColumn="0" w:noHBand="0" w:noVBand="1"/>
      </w:tblPr>
      <w:tblGrid>
        <w:gridCol w:w="570"/>
        <w:gridCol w:w="1830"/>
        <w:gridCol w:w="7242"/>
      </w:tblGrid>
      <w:tr w:rsidR="004D61A7" w:rsidRPr="00E4719C" w14:paraId="3A4B158B" w14:textId="77777777" w:rsidTr="00F862FF">
        <w:tc>
          <w:tcPr>
            <w:tcW w:w="556" w:type="dxa"/>
          </w:tcPr>
          <w:p w14:paraId="10275189" w14:textId="77777777" w:rsidR="00A8649C" w:rsidRPr="00E4719C" w:rsidRDefault="00A8649C" w:rsidP="00E4719C">
            <w:pPr>
              <w:rPr>
                <w:b/>
              </w:rPr>
            </w:pPr>
            <w:r>
              <w:rPr>
                <w:b/>
              </w:rPr>
              <w:t>No.</w:t>
            </w:r>
          </w:p>
        </w:tc>
        <w:tc>
          <w:tcPr>
            <w:tcW w:w="1830" w:type="dxa"/>
          </w:tcPr>
          <w:p w14:paraId="4F6FAC37" w14:textId="77777777" w:rsidR="00A8649C" w:rsidRPr="00E4719C" w:rsidRDefault="00A8649C" w:rsidP="00E4719C">
            <w:pPr>
              <w:rPr>
                <w:b/>
              </w:rPr>
            </w:pPr>
            <w:r>
              <w:rPr>
                <w:b/>
              </w:rPr>
              <w:t>Term</w:t>
            </w:r>
          </w:p>
        </w:tc>
        <w:tc>
          <w:tcPr>
            <w:tcW w:w="7242" w:type="dxa"/>
          </w:tcPr>
          <w:p w14:paraId="0A2EA3B5" w14:textId="77777777" w:rsidR="00A8649C" w:rsidRPr="00E4719C" w:rsidRDefault="00A8649C" w:rsidP="00E4719C">
            <w:pPr>
              <w:rPr>
                <w:b/>
              </w:rPr>
            </w:pPr>
            <w:r>
              <w:rPr>
                <w:b/>
              </w:rPr>
              <w:t>Definition</w:t>
            </w:r>
          </w:p>
        </w:tc>
      </w:tr>
      <w:tr w:rsidR="004D61A7" w:rsidRPr="00E4719C" w14:paraId="3E746E96" w14:textId="77777777" w:rsidTr="00F862FF">
        <w:tc>
          <w:tcPr>
            <w:tcW w:w="556" w:type="dxa"/>
          </w:tcPr>
          <w:p w14:paraId="6D865793" w14:textId="77777777" w:rsidR="00A8649C" w:rsidRPr="00E4719C" w:rsidRDefault="00A8649C" w:rsidP="00E4719C">
            <w:pPr>
              <w:rPr>
                <w:b/>
              </w:rPr>
            </w:pPr>
            <w:r>
              <w:rPr>
                <w:b/>
              </w:rPr>
              <w:t>1</w:t>
            </w:r>
          </w:p>
        </w:tc>
        <w:tc>
          <w:tcPr>
            <w:tcW w:w="1830" w:type="dxa"/>
          </w:tcPr>
          <w:p w14:paraId="55DA99B0" w14:textId="77777777" w:rsidR="00A8649C" w:rsidRPr="00E4719C" w:rsidRDefault="00A8649C" w:rsidP="00E4719C">
            <w:pPr>
              <w:rPr>
                <w:b/>
              </w:rPr>
            </w:pPr>
            <w:r>
              <w:rPr>
                <w:b/>
              </w:rPr>
              <w:t>Scientific Team</w:t>
            </w:r>
          </w:p>
        </w:tc>
        <w:tc>
          <w:tcPr>
            <w:tcW w:w="7242" w:type="dxa"/>
          </w:tcPr>
          <w:p w14:paraId="3E46D55F" w14:textId="29991C4B" w:rsidR="00A8649C" w:rsidRPr="00E4719C" w:rsidRDefault="00112998" w:rsidP="00E4719C">
            <w:r>
              <w:t>Scientific staff and scientific technical staff (persons who have the necessary technical knowledge and experience in one or several fields and who, under the supervision of scientists, participate in scientific activities by carrying out technical tasks. Scientific technical staff includes engineers, technicians, laboratory technicians, technologists, operators involved in the implementation of the project. The scientific group includes the project manager, main participants (if required</w:t>
            </w:r>
            <w:proofErr w:type="gramStart"/>
            <w:r>
              <w:t>)</w:t>
            </w:r>
            <w:proofErr w:type="gramEnd"/>
            <w:r>
              <w:t xml:space="preserve"> and the project participants.</w:t>
            </w:r>
          </w:p>
        </w:tc>
      </w:tr>
      <w:tr w:rsidR="004D61A7" w:rsidRPr="00E4719C" w14:paraId="7A2C8700" w14:textId="77777777" w:rsidTr="00F862FF">
        <w:tc>
          <w:tcPr>
            <w:tcW w:w="556" w:type="dxa"/>
          </w:tcPr>
          <w:p w14:paraId="13C33880" w14:textId="77777777" w:rsidR="00A8649C" w:rsidRPr="00E4719C" w:rsidRDefault="00A8649C" w:rsidP="00E4719C">
            <w:pPr>
              <w:rPr>
                <w:b/>
              </w:rPr>
            </w:pPr>
            <w:r>
              <w:rPr>
                <w:b/>
              </w:rPr>
              <w:t>2</w:t>
            </w:r>
          </w:p>
        </w:tc>
        <w:tc>
          <w:tcPr>
            <w:tcW w:w="1830" w:type="dxa"/>
          </w:tcPr>
          <w:p w14:paraId="435B4F55" w14:textId="77777777" w:rsidR="00A8649C" w:rsidRPr="00E4719C" w:rsidRDefault="00A8649C" w:rsidP="00E4719C">
            <w:pPr>
              <w:rPr>
                <w:b/>
              </w:rPr>
            </w:pPr>
            <w:r>
              <w:rPr>
                <w:b/>
              </w:rPr>
              <w:t>Scientific Staff</w:t>
            </w:r>
          </w:p>
        </w:tc>
        <w:tc>
          <w:tcPr>
            <w:tcW w:w="7242" w:type="dxa"/>
          </w:tcPr>
          <w:p w14:paraId="20FF38A3" w14:textId="71DF3DD6" w:rsidR="00A8649C" w:rsidRPr="00E4719C" w:rsidRDefault="00E84476" w:rsidP="00E4719C">
            <w:r>
              <w:t>Senior researchers, researchers, scientific assistants, academic staff</w:t>
            </w:r>
            <w:r w:rsidR="00F862FF" w:rsidRPr="00E4719C">
              <w:rPr>
                <w:rStyle w:val="FootnoteReference"/>
                <w:lang w:val="lv-LV"/>
              </w:rPr>
              <w:footnoteReference w:id="1"/>
            </w:r>
            <w:r>
              <w:t xml:space="preserve"> and students of a higher education institution.</w:t>
            </w:r>
          </w:p>
        </w:tc>
      </w:tr>
      <w:tr w:rsidR="004D61A7" w:rsidRPr="00E4719C" w14:paraId="2A192792" w14:textId="77777777" w:rsidTr="00F862FF">
        <w:tc>
          <w:tcPr>
            <w:tcW w:w="556" w:type="dxa"/>
          </w:tcPr>
          <w:p w14:paraId="1943F746" w14:textId="77777777" w:rsidR="00A8649C" w:rsidRPr="00E4719C" w:rsidRDefault="00A8649C" w:rsidP="00E4719C">
            <w:pPr>
              <w:rPr>
                <w:b/>
              </w:rPr>
            </w:pPr>
            <w:r>
              <w:rPr>
                <w:b/>
              </w:rPr>
              <w:t>3</w:t>
            </w:r>
          </w:p>
        </w:tc>
        <w:tc>
          <w:tcPr>
            <w:tcW w:w="1830" w:type="dxa"/>
          </w:tcPr>
          <w:p w14:paraId="5F71FE09" w14:textId="77777777" w:rsidR="00A8649C" w:rsidRPr="00E4719C" w:rsidRDefault="00A8649C" w:rsidP="00E4719C">
            <w:pPr>
              <w:rPr>
                <w:b/>
              </w:rPr>
            </w:pPr>
            <w:r>
              <w:rPr>
                <w:b/>
              </w:rPr>
              <w:t>Project Applicant</w:t>
            </w:r>
          </w:p>
        </w:tc>
        <w:tc>
          <w:tcPr>
            <w:tcW w:w="7242" w:type="dxa"/>
          </w:tcPr>
          <w:p w14:paraId="332B95A8" w14:textId="1D579DEA" w:rsidR="00A8649C" w:rsidRPr="00E4719C" w:rsidRDefault="00E84476" w:rsidP="00E4719C">
            <w:r>
              <w:t>A scientific institution registered in the Register of Scientific Institutions of the Republic of Latvia or a higher education institution corresponding to the definition of a research organisation</w:t>
            </w:r>
            <w:r w:rsidR="00F862FF" w:rsidRPr="00E4719C">
              <w:rPr>
                <w:rStyle w:val="FootnoteReference"/>
                <w:lang w:val="lv-LV"/>
              </w:rPr>
              <w:footnoteReference w:id="2"/>
            </w:r>
            <w:r>
              <w:t>. Applicant is responsible for the implementation of the project and the achievement of the overall project results</w:t>
            </w:r>
          </w:p>
        </w:tc>
      </w:tr>
      <w:tr w:rsidR="004D61A7" w:rsidRPr="00E4719C" w14:paraId="56C53748" w14:textId="77777777" w:rsidTr="00F862FF">
        <w:tc>
          <w:tcPr>
            <w:tcW w:w="556" w:type="dxa"/>
          </w:tcPr>
          <w:p w14:paraId="220FE834" w14:textId="77777777" w:rsidR="00A8649C" w:rsidRPr="00E4719C" w:rsidRDefault="00A8649C" w:rsidP="00E4719C">
            <w:pPr>
              <w:rPr>
                <w:b/>
              </w:rPr>
            </w:pPr>
            <w:r>
              <w:rPr>
                <w:b/>
              </w:rPr>
              <w:t>4</w:t>
            </w:r>
          </w:p>
        </w:tc>
        <w:tc>
          <w:tcPr>
            <w:tcW w:w="1830" w:type="dxa"/>
          </w:tcPr>
          <w:p w14:paraId="574BD666" w14:textId="77777777" w:rsidR="00A8649C" w:rsidRPr="00E4719C" w:rsidRDefault="00A8649C" w:rsidP="00E4719C">
            <w:pPr>
              <w:rPr>
                <w:b/>
              </w:rPr>
            </w:pPr>
            <w:r>
              <w:rPr>
                <w:b/>
              </w:rPr>
              <w:t>Project Cooperation Partner – Scientific Institution</w:t>
            </w:r>
          </w:p>
        </w:tc>
        <w:tc>
          <w:tcPr>
            <w:tcW w:w="7242" w:type="dxa"/>
          </w:tcPr>
          <w:p w14:paraId="136CFA26" w14:textId="4551DD25" w:rsidR="00A8649C" w:rsidRPr="00E4719C" w:rsidRDefault="00E84476" w:rsidP="00E4719C">
            <w:r>
              <w:t>The scientific institution registered in the Register of Scientific Institutions of the Republic of Latvia or a higher education institution corresponding to the definition of a research organisation. Own staff or research infrastructure involved in the project.</w:t>
            </w:r>
          </w:p>
        </w:tc>
      </w:tr>
      <w:tr w:rsidR="004D61A7" w:rsidRPr="00E4719C" w14:paraId="1D94687B" w14:textId="77777777" w:rsidTr="00F862FF">
        <w:tc>
          <w:tcPr>
            <w:tcW w:w="556" w:type="dxa"/>
          </w:tcPr>
          <w:p w14:paraId="66E696D3" w14:textId="77777777" w:rsidR="00A8649C" w:rsidRPr="00E4719C" w:rsidRDefault="00A8649C" w:rsidP="00E4719C">
            <w:pPr>
              <w:rPr>
                <w:b/>
              </w:rPr>
            </w:pPr>
            <w:r>
              <w:rPr>
                <w:b/>
              </w:rPr>
              <w:t>5</w:t>
            </w:r>
          </w:p>
        </w:tc>
        <w:tc>
          <w:tcPr>
            <w:tcW w:w="1830" w:type="dxa"/>
          </w:tcPr>
          <w:p w14:paraId="37351C68" w14:textId="77777777" w:rsidR="00A8649C" w:rsidRPr="00E4719C" w:rsidRDefault="00A8649C" w:rsidP="00E4719C">
            <w:pPr>
              <w:rPr>
                <w:b/>
              </w:rPr>
            </w:pPr>
            <w:r>
              <w:rPr>
                <w:b/>
              </w:rPr>
              <w:t>Project Cooperation Partner – Public Institution</w:t>
            </w:r>
          </w:p>
        </w:tc>
        <w:tc>
          <w:tcPr>
            <w:tcW w:w="7242" w:type="dxa"/>
          </w:tcPr>
          <w:p w14:paraId="0B8F9003" w14:textId="709DA4B0" w:rsidR="00A8649C" w:rsidRPr="00E4719C" w:rsidRDefault="00E84476" w:rsidP="00E4719C">
            <w:r>
              <w:t xml:space="preserve">A public institution which is required to carry out scientific activities by an external legal enactment, its </w:t>
            </w:r>
            <w:proofErr w:type="gramStart"/>
            <w:r>
              <w:t>by-law</w:t>
            </w:r>
            <w:proofErr w:type="gramEnd"/>
            <w:r>
              <w:t xml:space="preserve"> or articles of association, and is engaged in the implementation of the project with property, intellectual property, funding or human resources in its possession or ownership</w:t>
            </w:r>
          </w:p>
        </w:tc>
      </w:tr>
      <w:tr w:rsidR="004D61A7" w:rsidRPr="00E4719C" w14:paraId="56BF48B4" w14:textId="77777777" w:rsidTr="00F862FF">
        <w:tc>
          <w:tcPr>
            <w:tcW w:w="556" w:type="dxa"/>
          </w:tcPr>
          <w:p w14:paraId="617902A9" w14:textId="77777777" w:rsidR="00A8649C" w:rsidRPr="00E4719C" w:rsidRDefault="00A8649C" w:rsidP="00E4719C">
            <w:pPr>
              <w:rPr>
                <w:b/>
              </w:rPr>
            </w:pPr>
            <w:r>
              <w:rPr>
                <w:b/>
              </w:rPr>
              <w:t>6</w:t>
            </w:r>
          </w:p>
        </w:tc>
        <w:tc>
          <w:tcPr>
            <w:tcW w:w="1830" w:type="dxa"/>
          </w:tcPr>
          <w:p w14:paraId="7A67EE46" w14:textId="77777777" w:rsidR="00A8649C" w:rsidRPr="00E4719C" w:rsidRDefault="00A8649C" w:rsidP="00E4719C">
            <w:pPr>
              <w:rPr>
                <w:b/>
              </w:rPr>
            </w:pPr>
            <w:r>
              <w:rPr>
                <w:b/>
              </w:rPr>
              <w:t>Project Manager</w:t>
            </w:r>
          </w:p>
        </w:tc>
        <w:tc>
          <w:tcPr>
            <w:tcW w:w="7242" w:type="dxa"/>
          </w:tcPr>
          <w:p w14:paraId="076D33FC" w14:textId="6AC3E261" w:rsidR="00A8649C" w:rsidRPr="00E4719C" w:rsidRDefault="00E84476" w:rsidP="00E4719C">
            <w:r>
              <w:t xml:space="preserve">The scientist who manages the project and ensures its implementation. The principal manager plans and supervises the execution of the project tasks, is responsible for the activities of his/her own and those of other persons involved in the project in accordance with the tasks set out in the project, scientific ethical norms, timely </w:t>
            </w:r>
            <w:proofErr w:type="gramStart"/>
            <w:r>
              <w:t>preparation</w:t>
            </w:r>
            <w:proofErr w:type="gramEnd"/>
            <w:r>
              <w:t xml:space="preserve"> and submission of </w:t>
            </w:r>
            <w:r>
              <w:lastRenderedPageBreak/>
              <w:t>documentation describing the scientific progress of the project in accordance with the procedure provided for in the Cabinet Regulation.</w:t>
            </w:r>
          </w:p>
          <w:p w14:paraId="002CEE51" w14:textId="21DA2FC3" w:rsidR="00F858C3" w:rsidRPr="00E4719C" w:rsidRDefault="00F858C3" w:rsidP="00E4719C">
            <w:r>
              <w:t>The principal manager is registered in the National Scientific Activity Information System (hereinafter – the Information System).</w:t>
            </w:r>
          </w:p>
        </w:tc>
      </w:tr>
      <w:tr w:rsidR="004D61A7" w:rsidRPr="00E4719C" w14:paraId="64736DB5" w14:textId="77777777" w:rsidTr="00F862FF">
        <w:tc>
          <w:tcPr>
            <w:tcW w:w="556" w:type="dxa"/>
          </w:tcPr>
          <w:p w14:paraId="035512D6" w14:textId="77777777" w:rsidR="00A8649C" w:rsidRPr="00E4719C" w:rsidRDefault="00A8649C" w:rsidP="00E4719C">
            <w:pPr>
              <w:rPr>
                <w:b/>
              </w:rPr>
            </w:pPr>
            <w:r>
              <w:rPr>
                <w:b/>
              </w:rPr>
              <w:lastRenderedPageBreak/>
              <w:t>7</w:t>
            </w:r>
          </w:p>
        </w:tc>
        <w:tc>
          <w:tcPr>
            <w:tcW w:w="1830" w:type="dxa"/>
          </w:tcPr>
          <w:p w14:paraId="71C05DC0" w14:textId="77777777" w:rsidR="00A8649C" w:rsidRPr="00E4719C" w:rsidRDefault="00A8649C" w:rsidP="00E4719C">
            <w:pPr>
              <w:rPr>
                <w:b/>
              </w:rPr>
            </w:pPr>
            <w:r>
              <w:rPr>
                <w:b/>
              </w:rPr>
              <w:t>Main Project Participants</w:t>
            </w:r>
          </w:p>
        </w:tc>
        <w:tc>
          <w:tcPr>
            <w:tcW w:w="7242" w:type="dxa"/>
          </w:tcPr>
          <w:p w14:paraId="7BD98FED" w14:textId="77D0998C" w:rsidR="00A8649C" w:rsidRPr="00E4719C" w:rsidRDefault="00E84476" w:rsidP="00E4719C">
            <w:r>
              <w:t>Scientists who implement the project and are responsible for the implementation of any part thereof</w:t>
            </w:r>
          </w:p>
        </w:tc>
      </w:tr>
      <w:tr w:rsidR="004D61A7" w:rsidRPr="00E4719C" w14:paraId="12995089" w14:textId="77777777" w:rsidTr="00F862FF">
        <w:tc>
          <w:tcPr>
            <w:tcW w:w="556" w:type="dxa"/>
          </w:tcPr>
          <w:p w14:paraId="3B44A746" w14:textId="77777777" w:rsidR="00A8649C" w:rsidRPr="00E4719C" w:rsidRDefault="00A8649C" w:rsidP="00E4719C">
            <w:pPr>
              <w:rPr>
                <w:b/>
              </w:rPr>
            </w:pPr>
            <w:r>
              <w:rPr>
                <w:b/>
              </w:rPr>
              <w:t>8</w:t>
            </w:r>
          </w:p>
        </w:tc>
        <w:tc>
          <w:tcPr>
            <w:tcW w:w="1830" w:type="dxa"/>
          </w:tcPr>
          <w:p w14:paraId="53D1FF32" w14:textId="77777777" w:rsidR="00A8649C" w:rsidRPr="00E4719C" w:rsidRDefault="00A8649C" w:rsidP="00E4719C">
            <w:pPr>
              <w:rPr>
                <w:b/>
              </w:rPr>
            </w:pPr>
            <w:r>
              <w:rPr>
                <w:b/>
              </w:rPr>
              <w:t>Project Participants</w:t>
            </w:r>
          </w:p>
        </w:tc>
        <w:tc>
          <w:tcPr>
            <w:tcW w:w="7242" w:type="dxa"/>
          </w:tcPr>
          <w:p w14:paraId="3A38080B" w14:textId="189F88CC" w:rsidR="00A8649C" w:rsidRPr="00E4719C" w:rsidRDefault="00E84476" w:rsidP="00E4719C">
            <w:r>
              <w:t>Members of the scientific group who carry out individual scientific tasks in the implementation of the project and are responsible for carrying out relevant parts of it.</w:t>
            </w:r>
          </w:p>
        </w:tc>
      </w:tr>
      <w:tr w:rsidR="004D61A7" w:rsidRPr="00E4719C" w14:paraId="70B38AA6" w14:textId="77777777" w:rsidTr="00F862FF">
        <w:tc>
          <w:tcPr>
            <w:tcW w:w="556" w:type="dxa"/>
          </w:tcPr>
          <w:p w14:paraId="1EB356A3" w14:textId="77777777" w:rsidR="00A8649C" w:rsidRPr="00E4719C" w:rsidRDefault="00A8649C" w:rsidP="00E4719C">
            <w:pPr>
              <w:rPr>
                <w:b/>
              </w:rPr>
            </w:pPr>
            <w:r>
              <w:rPr>
                <w:b/>
              </w:rPr>
              <w:t>9</w:t>
            </w:r>
          </w:p>
        </w:tc>
        <w:tc>
          <w:tcPr>
            <w:tcW w:w="1830" w:type="dxa"/>
          </w:tcPr>
          <w:p w14:paraId="610F6DE6" w14:textId="77777777" w:rsidR="00A8649C" w:rsidRPr="00E4719C" w:rsidRDefault="00A8649C" w:rsidP="00E4719C">
            <w:pPr>
              <w:rPr>
                <w:b/>
              </w:rPr>
            </w:pPr>
            <w:r>
              <w:rPr>
                <w:b/>
              </w:rPr>
              <w:t>Students of the Higher Education Institution</w:t>
            </w:r>
          </w:p>
        </w:tc>
        <w:tc>
          <w:tcPr>
            <w:tcW w:w="7242" w:type="dxa"/>
          </w:tcPr>
          <w:p w14:paraId="27F803B9" w14:textId="7B366172" w:rsidR="00A8649C" w:rsidRPr="00E4719C" w:rsidRDefault="00E84476" w:rsidP="00E4719C">
            <w:pPr>
              <w:pStyle w:val="FootnoteText"/>
              <w:rPr>
                <w:sz w:val="24"/>
                <w:szCs w:val="24"/>
              </w:rPr>
            </w:pPr>
            <w:r>
              <w:rPr>
                <w:sz w:val="24"/>
              </w:rPr>
              <w:t>A student of the bachelor degree study programme, a student of the vocational study programme, a student of the master’s degree study programmes (master’s programme student), a resident in medicine, and a doctoral student, and also a doctoral degree nominee are students involved in the Scientific Team of the project.</w:t>
            </w:r>
            <w:r w:rsidR="00A8649C" w:rsidRPr="00E4719C">
              <w:rPr>
                <w:sz w:val="24"/>
                <w:szCs w:val="24"/>
                <w:vertAlign w:val="superscript"/>
              </w:rPr>
              <w:footnoteReference w:id="3"/>
            </w:r>
            <w:r>
              <w:rPr>
                <w:sz w:val="24"/>
              </w:rPr>
              <w:t xml:space="preserve"> Students of the higher education institution must be involved in the project according to the provisions of Paragraphs 21–24 of the Regulations.</w:t>
            </w:r>
          </w:p>
        </w:tc>
      </w:tr>
      <w:tr w:rsidR="004D61A7" w:rsidRPr="00E4719C" w14:paraId="68F2E0C6" w14:textId="77777777" w:rsidTr="00F862FF">
        <w:tc>
          <w:tcPr>
            <w:tcW w:w="556" w:type="dxa"/>
          </w:tcPr>
          <w:p w14:paraId="32DAF638" w14:textId="77777777" w:rsidR="00A8649C" w:rsidRPr="00E4719C" w:rsidRDefault="00A8649C" w:rsidP="00E4719C">
            <w:pPr>
              <w:rPr>
                <w:b/>
              </w:rPr>
            </w:pPr>
            <w:r>
              <w:rPr>
                <w:b/>
              </w:rPr>
              <w:t>10</w:t>
            </w:r>
          </w:p>
        </w:tc>
        <w:tc>
          <w:tcPr>
            <w:tcW w:w="1830" w:type="dxa"/>
          </w:tcPr>
          <w:p w14:paraId="15249C30" w14:textId="77777777" w:rsidR="00A8649C" w:rsidRPr="00E4719C" w:rsidRDefault="00A8649C" w:rsidP="00E4719C">
            <w:pPr>
              <w:rPr>
                <w:b/>
              </w:rPr>
            </w:pPr>
            <w:r>
              <w:rPr>
                <w:b/>
              </w:rPr>
              <w:t>Project Contact Person</w:t>
            </w:r>
          </w:p>
        </w:tc>
        <w:tc>
          <w:tcPr>
            <w:tcW w:w="7242" w:type="dxa"/>
          </w:tcPr>
          <w:p w14:paraId="388888BF" w14:textId="70454880" w:rsidR="00A8649C" w:rsidRPr="00E4719C" w:rsidRDefault="0083140B" w:rsidP="00E4719C">
            <w:r>
              <w:t xml:space="preserve">A natural person who is registered in the Information System, fills in information on the Project Proposal, uploads its annexes, </w:t>
            </w:r>
            <w:proofErr w:type="gramStart"/>
            <w:r>
              <w:t>and also</w:t>
            </w:r>
            <w:proofErr w:type="gramEnd"/>
            <w:r>
              <w:t>, where necessary, maintains contact with the staff of the Latvian Council of Science and the staff of the Ministry of Education and Science during the project submission and implementation. The Project Applicant shall indicate the Project Contact Person in Chapter 1 “General Information” of Part A of the Project Proposal. If the project has cooperation partners, their contact persons are likewise indicated. The contact person and the project manager can be the same person.</w:t>
            </w:r>
          </w:p>
        </w:tc>
      </w:tr>
    </w:tbl>
    <w:p w14:paraId="5730EAF7" w14:textId="77777777" w:rsidR="006E2F6D" w:rsidRPr="00E4719C" w:rsidRDefault="006E2F6D" w:rsidP="00E4719C">
      <w:bookmarkStart w:id="3" w:name="_Toc513469509"/>
    </w:p>
    <w:p w14:paraId="3C30289E" w14:textId="0B95F6FE" w:rsidR="00EE5F77" w:rsidRPr="00E4719C" w:rsidRDefault="006E2F6D" w:rsidP="00E4719C">
      <w:pPr>
        <w:pStyle w:val="Heading1"/>
        <w:rPr>
          <w:kern w:val="0"/>
        </w:rPr>
      </w:pPr>
      <w:bookmarkStart w:id="4" w:name="_Toc143245576"/>
      <w:r>
        <w:t xml:space="preserve">2 Scientific </w:t>
      </w:r>
      <w:bookmarkEnd w:id="3"/>
      <w:r>
        <w:t>Expert Evaluation of the Project Proposal</w:t>
      </w:r>
      <w:bookmarkEnd w:id="4"/>
    </w:p>
    <w:p w14:paraId="780299D6" w14:textId="612C1B00" w:rsidR="003270BF" w:rsidRPr="00E4719C" w:rsidRDefault="003270BF" w:rsidP="00E4719C">
      <w:pPr>
        <w:autoSpaceDE w:val="0"/>
        <w:autoSpaceDN w:val="0"/>
        <w:adjustRightInd w:val="0"/>
        <w:ind w:firstLine="720"/>
      </w:pPr>
      <w:r>
        <w:t>1 The scientific evaluation process of all Project Proposals submitted within the scope of the Open Call shall be organised by the Council.</w:t>
      </w:r>
    </w:p>
    <w:p w14:paraId="16D490FE" w14:textId="7311DD2E" w:rsidR="003270BF" w:rsidRPr="00E4719C" w:rsidRDefault="003270BF" w:rsidP="00E4719C">
      <w:pPr>
        <w:ind w:firstLine="720"/>
      </w:pPr>
      <w:r>
        <w:t>2 If the Project Proposal meets the administrative evaluation criteria, the Council shall, in accordance with the provisions laid down in Chapter VII, invite two or more suitably qualified experts to perform the scientific expert evaluation of the Project Proposal.</w:t>
      </w:r>
    </w:p>
    <w:p w14:paraId="73CB29A0" w14:textId="77777777" w:rsidR="003270BF" w:rsidRPr="00E4719C" w:rsidRDefault="003270BF" w:rsidP="00E4719C">
      <w:pPr>
        <w:ind w:firstLine="720"/>
        <w:contextualSpacing/>
        <w:rPr>
          <w:lang w:val="lv-LV"/>
        </w:rPr>
      </w:pPr>
    </w:p>
    <w:p w14:paraId="5408D8A8" w14:textId="77777777" w:rsidR="003270BF" w:rsidRPr="00E4719C" w:rsidRDefault="003270BF" w:rsidP="00E4719C">
      <w:pPr>
        <w:ind w:firstLine="720"/>
        <w:rPr>
          <w:sz w:val="23"/>
          <w:szCs w:val="23"/>
        </w:rPr>
      </w:pPr>
      <w:r>
        <w:t>3 Prior to obtaining access to the Project Proposal in the Information System, the expert shall:</w:t>
      </w:r>
    </w:p>
    <w:p w14:paraId="726C96D8" w14:textId="5551E117" w:rsidR="003270BF" w:rsidRPr="00E4719C" w:rsidRDefault="003270BF" w:rsidP="00E4719C">
      <w:pPr>
        <w:ind w:firstLine="720"/>
        <w:contextualSpacing/>
      </w:pPr>
      <w:r>
        <w:t xml:space="preserve">3.1 declare that he or she has no conflict of interest </w:t>
      </w:r>
      <w:proofErr w:type="gramStart"/>
      <w:r>
        <w:t>and also</w:t>
      </w:r>
      <w:proofErr w:type="gramEnd"/>
      <w:r>
        <w:t xml:space="preserve"> undertake to comply with confidentiality requirements by signing and sending to the Council, by electronic mail, Annex 5 to the Regulations “Declaration of Absence of Conflict of Interest and Maintenance of Confidentiality” (hereinafter – the Declaration of the Expert);</w:t>
      </w:r>
    </w:p>
    <w:p w14:paraId="4AE3D94D" w14:textId="2E74DDC2" w:rsidR="003270BF" w:rsidRPr="00E4719C" w:rsidRDefault="003270BF" w:rsidP="00E4719C">
      <w:pPr>
        <w:ind w:firstLine="720"/>
        <w:contextualSpacing/>
      </w:pPr>
      <w:r>
        <w:t>3.2 conclude a contract with the Council – Annex 6 to the Regulations “Service Contract for Scientific Evaluation” (hereinafter – the Service Contract).</w:t>
      </w:r>
    </w:p>
    <w:p w14:paraId="22142A21" w14:textId="77777777" w:rsidR="003270BF" w:rsidRPr="00E4719C" w:rsidRDefault="003270BF" w:rsidP="00E4719C">
      <w:pPr>
        <w:ind w:firstLine="720"/>
        <w:contextualSpacing/>
        <w:rPr>
          <w:lang w:val="lv-LV"/>
        </w:rPr>
      </w:pPr>
    </w:p>
    <w:p w14:paraId="7AA0EE94" w14:textId="0F5F2AC5" w:rsidR="003270BF" w:rsidRPr="00E4719C" w:rsidRDefault="003270BF" w:rsidP="00E4719C">
      <w:pPr>
        <w:ind w:firstLine="720"/>
        <w:contextualSpacing/>
      </w:pPr>
      <w:r>
        <w:t>4 The Council shall, upon receipt of the Declaration of the Expert and after conclusion of the Service Contract, give the expert access to the Project Proposal and to all the necessary information in the Information System to carry out an appropriate evaluation of the Project Proposal.</w:t>
      </w:r>
    </w:p>
    <w:p w14:paraId="0AEDA59F" w14:textId="77777777" w:rsidR="003270BF" w:rsidRPr="00E4719C" w:rsidRDefault="003270BF" w:rsidP="00E4719C">
      <w:pPr>
        <w:ind w:firstLine="720"/>
        <w:contextualSpacing/>
        <w:rPr>
          <w:lang w:val="lv-LV"/>
        </w:rPr>
      </w:pPr>
    </w:p>
    <w:p w14:paraId="59F76FFE" w14:textId="30BE06E8" w:rsidR="003270BF" w:rsidRPr="00E4719C" w:rsidRDefault="003270BF" w:rsidP="00E4719C">
      <w:pPr>
        <w:ind w:firstLine="720"/>
        <w:contextualSpacing/>
      </w:pPr>
      <w:r>
        <w:t>5 The expert shall evaluate the Project Proposal by applying his or her competence and experience in scientific evaluation of projects in the relevant field of science and by justifying his or her evaluation with scientific evidence.</w:t>
      </w:r>
    </w:p>
    <w:p w14:paraId="04905C10" w14:textId="77777777" w:rsidR="003270BF" w:rsidRPr="00E4719C" w:rsidRDefault="003270BF" w:rsidP="00E4719C">
      <w:pPr>
        <w:ind w:firstLine="720"/>
        <w:contextualSpacing/>
        <w:rPr>
          <w:lang w:val="lv-LV"/>
        </w:rPr>
      </w:pPr>
    </w:p>
    <w:p w14:paraId="31287DCC" w14:textId="2B5DECF3" w:rsidR="003270BF" w:rsidRPr="00E4719C" w:rsidRDefault="003270BF" w:rsidP="00E4719C">
      <w:pPr>
        <w:ind w:firstLine="720"/>
        <w:contextualSpacing/>
      </w:pPr>
      <w:r>
        <w:lastRenderedPageBreak/>
        <w:t xml:space="preserve">6 In the course of the scientific expert evaluation, the expert shall cooperate with the Council </w:t>
      </w:r>
      <w:proofErr w:type="gramStart"/>
      <w:r>
        <w:t>and also</w:t>
      </w:r>
      <w:proofErr w:type="gramEnd"/>
      <w:r>
        <w:t xml:space="preserve"> comply with the instructions given by the Council pertaining to the performance of the expert evaluation in accordance with the Regulations and the Service Contract.</w:t>
      </w:r>
    </w:p>
    <w:p w14:paraId="796EC67C" w14:textId="77777777" w:rsidR="003270BF" w:rsidRPr="00E4719C" w:rsidRDefault="003270BF" w:rsidP="00E4719C">
      <w:pPr>
        <w:ind w:firstLine="720"/>
        <w:contextualSpacing/>
        <w:rPr>
          <w:lang w:val="lv-LV"/>
        </w:rPr>
      </w:pPr>
    </w:p>
    <w:p w14:paraId="65D06BDD" w14:textId="40CA95F2" w:rsidR="00534D88" w:rsidRPr="00E4719C" w:rsidRDefault="003270BF" w:rsidP="00E4719C">
      <w:pPr>
        <w:ind w:firstLine="720"/>
      </w:pPr>
      <w:r>
        <w:t>7 In accordance with Paragraph 43 of the Regulations, the expert is allowed to evaluate only 20 pages of the application and up to three additional pages if there are declarations from the institutions interested in using the project results, letters of recommendation on cooperation, etc.</w:t>
      </w:r>
    </w:p>
    <w:p w14:paraId="75E8C8F2" w14:textId="77777777" w:rsidR="00317ABD" w:rsidRPr="00E4719C" w:rsidRDefault="00317ABD" w:rsidP="00E4719C">
      <w:pPr>
        <w:pStyle w:val="NoSpacing"/>
        <w:jc w:val="center"/>
        <w:rPr>
          <w:b/>
          <w:bCs/>
        </w:rPr>
      </w:pPr>
      <w:bookmarkStart w:id="5" w:name="_Toc513469510"/>
      <w:bookmarkStart w:id="6" w:name="_Toc79581050"/>
    </w:p>
    <w:p w14:paraId="2A61F9C3" w14:textId="5AB53CC2" w:rsidR="003270BF" w:rsidRPr="00E4719C" w:rsidRDefault="003270BF" w:rsidP="00E4719C">
      <w:pPr>
        <w:pStyle w:val="NoSpacing"/>
        <w:jc w:val="center"/>
        <w:rPr>
          <w:b/>
          <w:bCs/>
        </w:rPr>
      </w:pPr>
      <w:r>
        <w:rPr>
          <w:b/>
        </w:rPr>
        <w:t>2.1 Individual Evaluation of the Project Proposal</w:t>
      </w:r>
      <w:bookmarkEnd w:id="5"/>
      <w:bookmarkEnd w:id="6"/>
    </w:p>
    <w:p w14:paraId="2DCECD0F" w14:textId="77777777" w:rsidR="0094247B" w:rsidRPr="00E4719C" w:rsidRDefault="0094247B" w:rsidP="00E4719C">
      <w:pPr>
        <w:pStyle w:val="NoSpacing"/>
        <w:jc w:val="center"/>
        <w:rPr>
          <w:b/>
          <w:bCs/>
          <w:lang w:val="lv-LV"/>
        </w:rPr>
      </w:pPr>
    </w:p>
    <w:p w14:paraId="0BB76D3C" w14:textId="60902196" w:rsidR="003270BF" w:rsidRPr="00E4719C" w:rsidRDefault="003270BF" w:rsidP="00E4719C">
      <w:pPr>
        <w:ind w:firstLine="720"/>
        <w:contextualSpacing/>
      </w:pPr>
      <w:r>
        <w:t>8 The expert shall complete and approve the individual evaluation of the Project Proposal (hereinafter – the Individual Evaluation) which has been drawn up in accordance with Annex 8 to the Regulations “Form for Individual/Consolidated Evaluation of the Project Proposal Expert Evaluation” in the Information System within two weeks after concluding the Service Contract and obtaining access to the Project Proposal and all necessary information, unless another time limit is specified in the Service Contract.</w:t>
      </w:r>
    </w:p>
    <w:p w14:paraId="16E63D8A" w14:textId="77777777" w:rsidR="003270BF" w:rsidRPr="00E4719C" w:rsidRDefault="003270BF" w:rsidP="00E4719C">
      <w:pPr>
        <w:ind w:firstLine="720"/>
        <w:contextualSpacing/>
        <w:rPr>
          <w:lang w:val="lv-LV"/>
        </w:rPr>
      </w:pPr>
    </w:p>
    <w:p w14:paraId="19D38717" w14:textId="77777777" w:rsidR="003270BF" w:rsidRPr="00E4719C" w:rsidRDefault="003270BF" w:rsidP="00E4719C">
      <w:pPr>
        <w:ind w:firstLine="720"/>
        <w:contextualSpacing/>
      </w:pPr>
      <w:r>
        <w:t xml:space="preserve">9 In the Individual Evaluation, the expert shall evaluate each criterion and provide a score in points, </w:t>
      </w:r>
      <w:proofErr w:type="gramStart"/>
      <w:r>
        <w:t>taking into account</w:t>
      </w:r>
      <w:proofErr w:type="gramEnd"/>
      <w:r>
        <w:t xml:space="preserve"> the considerations set out in Paragraph 13 of the Methodology. </w:t>
      </w:r>
    </w:p>
    <w:p w14:paraId="62F23A6C" w14:textId="77777777" w:rsidR="003270BF" w:rsidRPr="00E4719C" w:rsidRDefault="003270BF" w:rsidP="00E4719C">
      <w:pPr>
        <w:ind w:firstLine="720"/>
        <w:contextualSpacing/>
        <w:rPr>
          <w:lang w:val="lv-LV"/>
        </w:rPr>
      </w:pPr>
    </w:p>
    <w:p w14:paraId="01B81C80" w14:textId="77777777" w:rsidR="003270BF" w:rsidRPr="00E4719C" w:rsidRDefault="003270BF" w:rsidP="00E4719C">
      <w:pPr>
        <w:ind w:firstLine="720"/>
        <w:contextualSpacing/>
      </w:pPr>
      <w:r>
        <w:t>10 The expert shall evaluate the criteria and assign a score from 1 to 5 points for each criterion where:</w:t>
      </w:r>
    </w:p>
    <w:p w14:paraId="0F2A171F" w14:textId="77777777" w:rsidR="003270BF" w:rsidRPr="00E4719C" w:rsidRDefault="003270BF" w:rsidP="00E4719C">
      <w:pPr>
        <w:ind w:firstLine="720"/>
        <w:contextualSpacing/>
      </w:pPr>
      <w:r>
        <w:t>10.1 Excellent – 5 points (excellent Project Proposal, meets or exceeds the highest standards in the relevant field of science, any shortcomings in the Project Proposal are minor);</w:t>
      </w:r>
    </w:p>
    <w:p w14:paraId="5CC5B1B7" w14:textId="77777777" w:rsidR="003270BF" w:rsidRPr="00E4719C" w:rsidRDefault="003270BF" w:rsidP="00E4719C">
      <w:pPr>
        <w:ind w:firstLine="720"/>
        <w:contextualSpacing/>
      </w:pPr>
      <w:r>
        <w:t>10.2 Good – 4 points (good Project Proposal, meets the requirements of the criterion in the relevant field of science, but there are some shortcomings);</w:t>
      </w:r>
    </w:p>
    <w:p w14:paraId="273FA5D4" w14:textId="6880DC10" w:rsidR="003270BF" w:rsidRPr="00E4719C" w:rsidRDefault="003270BF" w:rsidP="00E4719C">
      <w:pPr>
        <w:ind w:firstLine="720"/>
        <w:contextualSpacing/>
      </w:pPr>
      <w:r>
        <w:t>10.3 satisfactory – 3 points (satisfactory Project Proposal, generally meets the requirements of the criterion in the relevant field of science, with some shortcomings that will make it difficult to implement the project and achieve high results);</w:t>
      </w:r>
    </w:p>
    <w:p w14:paraId="4FC98284" w14:textId="3287328C" w:rsidR="003270BF" w:rsidRPr="00E4719C" w:rsidRDefault="003270BF" w:rsidP="00E4719C">
      <w:pPr>
        <w:ind w:firstLine="720"/>
        <w:contextualSpacing/>
      </w:pPr>
      <w:r>
        <w:t>10.4 weak – 2 points (weak Project Proposal, partial or only general compliance with the requirements of the criterion in the relevant field of science, identifiable shortcomings that make it difficult to successfully implement the project and achieve its objectives);</w:t>
      </w:r>
    </w:p>
    <w:p w14:paraId="00A0ED41" w14:textId="07AAEB72" w:rsidR="003270BF" w:rsidRPr="00E4719C" w:rsidRDefault="003270BF" w:rsidP="00E4719C">
      <w:pPr>
        <w:ind w:firstLine="720"/>
        <w:contextualSpacing/>
      </w:pPr>
      <w:r>
        <w:t>10.5 unsatisfactory – 1 point (unsatisfactory Project Proposal, does not meet the requirements of the relevant field of science for the criterion, and the information provided is insufficient for the assessment under the criterion, and there are significant shortcomings that make the implementation of the project and the achievement of the objectives questionable);</w:t>
      </w:r>
    </w:p>
    <w:p w14:paraId="38BA8E49" w14:textId="43172BF0" w:rsidR="003270BF" w:rsidRPr="00E4719C" w:rsidRDefault="003270BF" w:rsidP="00E4719C">
      <w:pPr>
        <w:ind w:firstLine="720"/>
        <w:contextualSpacing/>
      </w:pPr>
      <w:r>
        <w:t xml:space="preserve">10.6 if the score of the Project Proposal </w:t>
      </w:r>
      <w:proofErr w:type="gramStart"/>
      <w:r>
        <w:t>in a given</w:t>
      </w:r>
      <w:proofErr w:type="gramEnd"/>
      <w:r>
        <w:t xml:space="preserve"> criterion exceeds the requirements of the previous lowest score but does not fully meet the requirements of the next highest score, half point scores, i.e., 0.5, may also be given.</w:t>
      </w:r>
    </w:p>
    <w:p w14:paraId="67F15EC9" w14:textId="77777777" w:rsidR="003270BF" w:rsidRPr="00E4719C" w:rsidRDefault="003270BF" w:rsidP="00E4719C">
      <w:pPr>
        <w:ind w:firstLine="720"/>
        <w:contextualSpacing/>
        <w:rPr>
          <w:lang w:val="lv-LV"/>
        </w:rPr>
      </w:pPr>
    </w:p>
    <w:p w14:paraId="621F2EF3" w14:textId="235D2893" w:rsidR="00C02E03" w:rsidRPr="00E4719C" w:rsidRDefault="003270BF" w:rsidP="00E4719C">
      <w:pPr>
        <w:ind w:firstLine="720"/>
        <w:contextualSpacing/>
      </w:pPr>
      <w:r>
        <w:t>11 For the score of each criterion, the expert provides a scientifically reasoned justification, using his or her competence and professional experience in scientific evaluation of projects in the relevant field of science. The expert shall explain in the justification the score awarded, using his or her professional qualifications and experience in the relevant field of science and topic.</w:t>
      </w:r>
    </w:p>
    <w:p w14:paraId="31CE2946" w14:textId="61590B33" w:rsidR="003270BF" w:rsidRPr="00E4719C" w:rsidRDefault="003270BF" w:rsidP="00E4719C">
      <w:pPr>
        <w:ind w:firstLine="720"/>
        <w:contextualSpacing/>
        <w:rPr>
          <w:lang w:val="lv-LV"/>
        </w:rPr>
      </w:pPr>
    </w:p>
    <w:p w14:paraId="4FD2B269" w14:textId="3F908FD5" w:rsidR="003270BF" w:rsidRPr="00E4719C" w:rsidRDefault="003270BF" w:rsidP="00E4719C">
      <w:pPr>
        <w:ind w:firstLine="720"/>
        <w:contextualSpacing/>
      </w:pPr>
      <w:r>
        <w:t xml:space="preserve">12 Within three calendar days following the date of receipt of the Individual Evaluation, the Council shall assess the compliance of the Individual Evaluation with the considerations referred to in Paragraphs 27, 28, and 29 of the Cabinet Regulation, </w:t>
      </w:r>
      <w:proofErr w:type="gramStart"/>
      <w:r>
        <w:t>and also</w:t>
      </w:r>
      <w:proofErr w:type="gramEnd"/>
      <w:r>
        <w:t xml:space="preserve"> with the Methodology, where necessary, returning the Individual Evaluation to the expert for specification/revision/improvement, justifying the reasons for the return thereof. In the event of such return, the expert shall update, revise, and validate the Individual Evaluation in the Information System within three calendar days following the date of receipt of the notification from the Council, sent by electronic mail, of the return of the Individual Evaluation of the expert.</w:t>
      </w:r>
    </w:p>
    <w:p w14:paraId="798F7FA4" w14:textId="77777777" w:rsidR="003A753C" w:rsidRPr="00E4719C" w:rsidRDefault="003A753C" w:rsidP="00E4719C">
      <w:pPr>
        <w:ind w:firstLine="720"/>
        <w:contextualSpacing/>
        <w:rPr>
          <w:lang w:val="lv-LV"/>
        </w:rPr>
      </w:pPr>
    </w:p>
    <w:p w14:paraId="205C5BE8" w14:textId="0EDC90D2" w:rsidR="003A753C" w:rsidRPr="00E4719C" w:rsidRDefault="003A753C" w:rsidP="00E4719C">
      <w:pPr>
        <w:ind w:firstLine="720"/>
        <w:contextualSpacing/>
      </w:pPr>
      <w:r>
        <w:t>13 The expert shall complete the Individual Evaluation in the Information System (see Annex 8 to the Regulations “Form for Individual/Consolidated Evaluation of the Project Proposal Expert Evaluation”) according to the following criteria and considerations:</w:t>
      </w:r>
    </w:p>
    <w:p w14:paraId="6B53F99D" w14:textId="77777777" w:rsidR="001B00BB" w:rsidRPr="00E4719C" w:rsidRDefault="001B00BB" w:rsidP="00E4719C">
      <w:pPr>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E4719C" w14:paraId="6A6854E4" w14:textId="77777777" w:rsidTr="00410212">
        <w:tc>
          <w:tcPr>
            <w:tcW w:w="9781" w:type="dxa"/>
            <w:gridSpan w:val="4"/>
          </w:tcPr>
          <w:p w14:paraId="30CAAD55" w14:textId="4BD848F1" w:rsidR="00EE5F77" w:rsidRPr="00E4719C" w:rsidRDefault="00EE5F77" w:rsidP="00E4719C">
            <w:pPr>
              <w:jc w:val="center"/>
              <w:rPr>
                <w:b/>
              </w:rPr>
            </w:pPr>
            <w:r>
              <w:rPr>
                <w:b/>
              </w:rPr>
              <w:t>Individual/Consolidated Evaluation of the Project Proposal Expert Evaluation</w:t>
            </w:r>
          </w:p>
        </w:tc>
      </w:tr>
      <w:tr w:rsidR="004D61A7" w:rsidRPr="00E4719C" w14:paraId="196F019B" w14:textId="77777777" w:rsidTr="00410212">
        <w:tc>
          <w:tcPr>
            <w:tcW w:w="9781" w:type="dxa"/>
            <w:gridSpan w:val="4"/>
          </w:tcPr>
          <w:p w14:paraId="3F8DA5D1" w14:textId="77777777" w:rsidR="00EE5F77" w:rsidRPr="00E4719C" w:rsidRDefault="00EE5F77" w:rsidP="00E4719C">
            <w:r>
              <w:t>Project title:</w:t>
            </w:r>
          </w:p>
          <w:p w14:paraId="381F077C" w14:textId="77777777" w:rsidR="00EE5F77" w:rsidRPr="00E4719C" w:rsidRDefault="00EE5F77" w:rsidP="00E4719C">
            <w:r>
              <w:t>Expert(s):</w:t>
            </w:r>
          </w:p>
        </w:tc>
      </w:tr>
      <w:tr w:rsidR="004D61A7" w:rsidRPr="00E4719C" w14:paraId="2B0F4D1B" w14:textId="77777777" w:rsidTr="00410212">
        <w:tc>
          <w:tcPr>
            <w:tcW w:w="576" w:type="dxa"/>
          </w:tcPr>
          <w:p w14:paraId="529D5DD1" w14:textId="77777777" w:rsidR="00EE5F77" w:rsidRPr="00E4719C" w:rsidRDefault="00EE5F77" w:rsidP="00E4719C">
            <w:pPr>
              <w:rPr>
                <w:b/>
              </w:rPr>
            </w:pPr>
            <w:r>
              <w:rPr>
                <w:b/>
              </w:rPr>
              <w:t>1</w:t>
            </w:r>
          </w:p>
        </w:tc>
        <w:tc>
          <w:tcPr>
            <w:tcW w:w="5520" w:type="dxa"/>
            <w:gridSpan w:val="2"/>
          </w:tcPr>
          <w:p w14:paraId="7A24F1D7" w14:textId="2DB09417" w:rsidR="00EE5F77" w:rsidRPr="00E4719C" w:rsidRDefault="005D2D37" w:rsidP="00E4719C">
            <w:pPr>
              <w:jc w:val="center"/>
              <w:rPr>
                <w:b/>
              </w:rPr>
            </w:pPr>
            <w:r>
              <w:rPr>
                <w:b/>
              </w:rPr>
              <w:t>Criterion: Scientific Quality of the Project</w:t>
            </w:r>
          </w:p>
        </w:tc>
        <w:tc>
          <w:tcPr>
            <w:tcW w:w="3685" w:type="dxa"/>
          </w:tcPr>
          <w:p w14:paraId="765EB9EA" w14:textId="77777777" w:rsidR="00EE5F77" w:rsidRPr="00E4719C" w:rsidRDefault="00EE5F77" w:rsidP="00E4719C">
            <w:pPr>
              <w:rPr>
                <w:b/>
              </w:rPr>
            </w:pPr>
            <w:r>
              <w:t>Maximum 5 points</w:t>
            </w:r>
          </w:p>
        </w:tc>
      </w:tr>
      <w:tr w:rsidR="00FF4F5B" w:rsidRPr="00E4719C" w14:paraId="5A341578" w14:textId="77777777" w:rsidTr="00410212">
        <w:tc>
          <w:tcPr>
            <w:tcW w:w="576" w:type="dxa"/>
          </w:tcPr>
          <w:p w14:paraId="189FC690" w14:textId="6C85D5B5" w:rsidR="00FF4F5B" w:rsidRPr="00E4719C" w:rsidRDefault="00FF4F5B" w:rsidP="00E4719C">
            <w:pPr>
              <w:rPr>
                <w:b/>
                <w:lang w:val="lv-LV"/>
              </w:rPr>
            </w:pPr>
          </w:p>
        </w:tc>
        <w:tc>
          <w:tcPr>
            <w:tcW w:w="3530" w:type="dxa"/>
          </w:tcPr>
          <w:p w14:paraId="4491484C" w14:textId="4F849FB6" w:rsidR="00FF4F5B" w:rsidRPr="00E4719C" w:rsidRDefault="00FF4F5B" w:rsidP="00E4719C">
            <w:pPr>
              <w:rPr>
                <w:lang w:val="lv-LV"/>
              </w:rPr>
            </w:pPr>
          </w:p>
        </w:tc>
        <w:tc>
          <w:tcPr>
            <w:tcW w:w="5675" w:type="dxa"/>
            <w:gridSpan w:val="2"/>
            <w:vMerge w:val="restart"/>
          </w:tcPr>
          <w:p w14:paraId="09E910F7" w14:textId="7E24C785" w:rsidR="00FF4F5B" w:rsidRPr="00E4719C" w:rsidRDefault="00FF4F5B" w:rsidP="00E4719C">
            <w:pPr>
              <w:rPr>
                <w:i/>
              </w:rPr>
            </w:pPr>
            <w:r>
              <w:rPr>
                <w:i/>
              </w:rPr>
              <w:t xml:space="preserve">The expert shall justify the score in points given by </w:t>
            </w:r>
            <w:proofErr w:type="gramStart"/>
            <w:r>
              <w:rPr>
                <w:i/>
              </w:rPr>
              <w:t>taking into account</w:t>
            </w:r>
            <w:proofErr w:type="gramEnd"/>
            <w:r>
              <w:rPr>
                <w:i/>
              </w:rPr>
              <w:t xml:space="preserve"> the fulfilment of the criterion as a whole and the fulfilment of each criterion consideration. </w:t>
            </w:r>
          </w:p>
          <w:p w14:paraId="4D3C9405" w14:textId="4C006291" w:rsidR="00FF4F5B" w:rsidRPr="00E4719C" w:rsidRDefault="00FF4F5B" w:rsidP="00E4719C">
            <w:pPr>
              <w:rPr>
                <w:i/>
              </w:rPr>
            </w:pPr>
            <w:r>
              <w:rPr>
                <w:i/>
              </w:rPr>
              <w:t xml:space="preserve">1 Specific information for the criterion is given in Chapter 1 “Scientific Excellence” of the Project Proposal </w:t>
            </w:r>
            <w:proofErr w:type="gramStart"/>
            <w:r>
              <w:rPr>
                <w:i/>
              </w:rPr>
              <w:t>and also</w:t>
            </w:r>
            <w:proofErr w:type="gramEnd"/>
            <w:r>
              <w:rPr>
                <w:i/>
              </w:rPr>
              <w:t xml:space="preserve"> in Sub-chapter 2.5 “Scientific Results of the Project and Ensuring Availability Thereof” and Sub-chapter 3.1 “Project Applicant and Scientific Group”, but it is the Project Proposal </w:t>
            </w:r>
            <w:proofErr w:type="gramStart"/>
            <w:r>
              <w:rPr>
                <w:i/>
              </w:rPr>
              <w:t>as a whole that</w:t>
            </w:r>
            <w:proofErr w:type="gramEnd"/>
            <w:r>
              <w:rPr>
                <w:i/>
              </w:rPr>
              <w:t xml:space="preserve"> should be </w:t>
            </w:r>
            <w:proofErr w:type="gramStart"/>
            <w:r>
              <w:rPr>
                <w:i/>
              </w:rPr>
              <w:t>taken into account</w:t>
            </w:r>
            <w:proofErr w:type="gramEnd"/>
            <w:r>
              <w:rPr>
                <w:i/>
              </w:rPr>
              <w:t xml:space="preserve"> when assessing the criterion. </w:t>
            </w:r>
          </w:p>
          <w:p w14:paraId="280757D0" w14:textId="77777777" w:rsidR="00FF4F5B" w:rsidRPr="00E4719C" w:rsidRDefault="00FF4F5B" w:rsidP="00E4719C">
            <w:pPr>
              <w:rPr>
                <w:i/>
              </w:rPr>
            </w:pPr>
            <w:r>
              <w:rPr>
                <w:i/>
              </w:rPr>
              <w:t>2 The scientific excellence of the project, including the selected research strategy and methodological solutions, the ability to generate new knowledge or technological insights, and also the ability to build and develop an interdisciplinary and inclusive team of internationally competitive scientists using research methods and technologies that are recognised among scientists worldwide, shall be assessed according to the specificities of the relevant scientific field or fields and the project, and also the specificities of the institutions of the Project Applicant and the project cooperation partners (if any).</w:t>
            </w:r>
          </w:p>
          <w:p w14:paraId="3CC091CB" w14:textId="6121E2EB" w:rsidR="00FF4F5B" w:rsidRPr="00E4719C" w:rsidRDefault="00FF4F5B" w:rsidP="00E4719C">
            <w:pPr>
              <w:rPr>
                <w:i/>
              </w:rPr>
            </w:pPr>
            <w:r>
              <w:rPr>
                <w:i/>
              </w:rPr>
              <w:t>3 The overarching objective of the Programme and the objective and task provided for in Paragraph 6 of the Cabinet Order and the horizontal tasks of the Programme, the results (in accordance with Paragraphs 7 and 8 of the Cabinet Order) and their feasibility shall be taken into account in the evaluation, and also it shall be evaluated whether the Project Proposal is adequate for achieving the overarching objective and objectives of the Programme in accordance with the area of the project and the envisaged time frame for implementation.</w:t>
            </w:r>
          </w:p>
          <w:p w14:paraId="7A47D2B3" w14:textId="546D1057" w:rsidR="00435099" w:rsidRPr="00E4719C" w:rsidRDefault="00FF4F5B" w:rsidP="00E4719C">
            <w:pPr>
              <w:rPr>
                <w:i/>
              </w:rPr>
            </w:pPr>
            <w:r>
              <w:rPr>
                <w:i/>
              </w:rPr>
              <w:t>4 The overall potential of the project to develop the knowledge base in the sciences of language and/or literature, and/or Latvian identity, and/or culture to develop national research and innovation systems that address societal challenges is also assessed.</w:t>
            </w:r>
          </w:p>
          <w:p w14:paraId="306B0674" w14:textId="2CD88E6A" w:rsidR="00435099" w:rsidRPr="00E4719C" w:rsidRDefault="00435099" w:rsidP="00E4719C">
            <w:pPr>
              <w:rPr>
                <w:i/>
              </w:rPr>
            </w:pPr>
            <w:r>
              <w:rPr>
                <w:i/>
              </w:rPr>
              <w:t>5 The expert shall also evaluate whether the Project Applicant has complied with the following conditions when completing the application:</w:t>
            </w:r>
          </w:p>
          <w:p w14:paraId="4FDA584A" w14:textId="6565C080" w:rsidR="00052504" w:rsidRPr="00E4719C" w:rsidRDefault="00052504" w:rsidP="00E4719C">
            <w:pPr>
              <w:ind w:left="720"/>
              <w:rPr>
                <w:i/>
              </w:rPr>
            </w:pPr>
            <w:r>
              <w:rPr>
                <w:i/>
              </w:rPr>
              <w:t xml:space="preserve">- to develop a well-considered and balanced research design by selecting such research </w:t>
            </w:r>
            <w:r>
              <w:rPr>
                <w:i/>
              </w:rPr>
              <w:lastRenderedPageBreak/>
              <w:t>methods and technologies that are appropriate for scientific activity and research, including innovative research methods and technologies such as design-based research, with an emphasis on practical solutions;</w:t>
            </w:r>
          </w:p>
          <w:p w14:paraId="067A00A1" w14:textId="2102CDC1" w:rsidR="00052504" w:rsidRPr="00E4719C" w:rsidRDefault="00052504" w:rsidP="00E4719C">
            <w:pPr>
              <w:ind w:left="720"/>
              <w:rPr>
                <w:i/>
              </w:rPr>
            </w:pPr>
            <w:r>
              <w:rPr>
                <w:i/>
              </w:rPr>
              <w:t>- to use data sets collected in Latvia, including the State Education Information System (SEIS), the Open Data Portal of Latvia, the Central Statistical Bureau, and other data;</w:t>
            </w:r>
          </w:p>
          <w:p w14:paraId="1176C9A1" w14:textId="7046A14D" w:rsidR="00052504" w:rsidRPr="00E4719C" w:rsidRDefault="00052504" w:rsidP="00E4719C">
            <w:pPr>
              <w:ind w:left="720"/>
              <w:rPr>
                <w:i/>
              </w:rPr>
            </w:pPr>
            <w:r>
              <w:rPr>
                <w:i/>
              </w:rPr>
              <w:t>- to use international comparative research and international good practice in relation to national contexts and needs;</w:t>
            </w:r>
          </w:p>
          <w:p w14:paraId="1521CE41" w14:textId="2F21D24F" w:rsidR="00052504" w:rsidRPr="00E4719C" w:rsidRDefault="00052504" w:rsidP="00E4719C">
            <w:pPr>
              <w:ind w:left="720"/>
              <w:rPr>
                <w:i/>
              </w:rPr>
            </w:pPr>
            <w:r>
              <w:rPr>
                <w:i/>
              </w:rPr>
              <w:t xml:space="preserve">- systematic reviews and meta-analyses should be an essential part of the research; </w:t>
            </w:r>
          </w:p>
          <w:p w14:paraId="4CF23FE5" w14:textId="366198ED" w:rsidR="00052504" w:rsidRPr="00E4719C" w:rsidRDefault="00052504" w:rsidP="00E4719C">
            <w:pPr>
              <w:ind w:left="720"/>
              <w:rPr>
                <w:i/>
              </w:rPr>
            </w:pPr>
            <w:r>
              <w:rPr>
                <w:i/>
              </w:rPr>
              <w:t xml:space="preserve">- to assess the current solutions, proposing improvements or developing new solutions to achieve the research results; </w:t>
            </w:r>
          </w:p>
          <w:p w14:paraId="048A1B72" w14:textId="78AB3188" w:rsidR="00052504" w:rsidRPr="00E4719C" w:rsidRDefault="00052504" w:rsidP="00E4719C">
            <w:pPr>
              <w:ind w:left="720"/>
              <w:rPr>
                <w:i/>
              </w:rPr>
            </w:pPr>
            <w:r>
              <w:rPr>
                <w:i/>
              </w:rPr>
              <w:t>- to base the focus of the research on a feasibility study based on an analysis of the current policy priorities and ongoing reforms;</w:t>
            </w:r>
          </w:p>
          <w:p w14:paraId="414BA36E" w14:textId="27C18CC6" w:rsidR="00052504" w:rsidRPr="00E4719C" w:rsidRDefault="00052504" w:rsidP="00E4719C">
            <w:pPr>
              <w:ind w:left="720"/>
              <w:rPr>
                <w:i/>
              </w:rPr>
            </w:pPr>
            <w:r>
              <w:rPr>
                <w:i/>
              </w:rPr>
              <w:t>- to ensure active involvement of the user (target group) in the validation of the research results in practice at all levels, i.e. educational institution, municipality, national level, through continuous improvement of the research results based on the validation. Where applicable, use research methods to validate research results that allow the identification of causal links based on experimental or quasi-experimental methods;</w:t>
            </w:r>
          </w:p>
          <w:p w14:paraId="0767D78D" w14:textId="77777777" w:rsidR="00AE3ADE" w:rsidRPr="00E4719C" w:rsidRDefault="00052504" w:rsidP="00E4719C">
            <w:pPr>
              <w:ind w:left="720"/>
              <w:rPr>
                <w:strike/>
              </w:rPr>
            </w:pPr>
            <w:r>
              <w:t xml:space="preserve">- </w:t>
            </w:r>
            <w:r>
              <w:rPr>
                <w:i/>
                <w:iCs/>
              </w:rPr>
              <w:t>the sample and solution testing set must be representative in nature;</w:t>
            </w:r>
          </w:p>
          <w:p w14:paraId="06C9D60E" w14:textId="2BAF8E74" w:rsidR="00052504" w:rsidRPr="00E4719C" w:rsidRDefault="00052504" w:rsidP="00E4719C">
            <w:pPr>
              <w:ind w:left="720"/>
            </w:pPr>
            <w:r>
              <w:rPr>
                <w:i/>
              </w:rPr>
              <w:t>- to assess the need (depending on the planned research topic) for collaboration between different disciplines and sub-disciplines to ensure the quality of the research objectives;</w:t>
            </w:r>
          </w:p>
          <w:p w14:paraId="08259248" w14:textId="112F155A" w:rsidR="00052504" w:rsidRPr="00E4719C" w:rsidRDefault="00052504" w:rsidP="00E4719C">
            <w:pPr>
              <w:ind w:left="720"/>
              <w:rPr>
                <w:i/>
                <w:iCs/>
              </w:rPr>
            </w:pPr>
            <w:r>
              <w:rPr>
                <w:i/>
              </w:rPr>
              <w:t>- to develop internal project monitoring and risk management mechanisms for the quality implementation of the research, including the establishment of a project steering committee.</w:t>
            </w:r>
          </w:p>
          <w:p w14:paraId="148F581D" w14:textId="6A702FA2" w:rsidR="00435099" w:rsidRPr="00E4719C" w:rsidRDefault="00435099" w:rsidP="00E4719C">
            <w:pPr>
              <w:rPr>
                <w:i/>
                <w:lang w:val="lv-LV"/>
              </w:rPr>
            </w:pPr>
          </w:p>
        </w:tc>
      </w:tr>
      <w:tr w:rsidR="00FF4F5B" w:rsidRPr="00E4719C" w14:paraId="51DECF31" w14:textId="77777777" w:rsidTr="00410212">
        <w:tc>
          <w:tcPr>
            <w:tcW w:w="576" w:type="dxa"/>
          </w:tcPr>
          <w:p w14:paraId="050DCB78" w14:textId="5DA60282" w:rsidR="00FF4F5B" w:rsidRPr="00E4719C" w:rsidRDefault="00FF4F5B" w:rsidP="00E4719C">
            <w:pPr>
              <w:rPr>
                <w:b/>
              </w:rPr>
            </w:pPr>
            <w:r>
              <w:rPr>
                <w:b/>
              </w:rPr>
              <w:t>1.1</w:t>
            </w:r>
          </w:p>
        </w:tc>
        <w:tc>
          <w:tcPr>
            <w:tcW w:w="3530" w:type="dxa"/>
          </w:tcPr>
          <w:p w14:paraId="7D437915" w14:textId="51EA3696" w:rsidR="00FF4F5B" w:rsidRPr="00E4719C" w:rsidRDefault="00FF4F5B" w:rsidP="00E4719C">
            <w:r>
              <w:t>Consideration: the scientific quality, reliability, and novelty of the research</w:t>
            </w:r>
          </w:p>
        </w:tc>
        <w:tc>
          <w:tcPr>
            <w:tcW w:w="5675" w:type="dxa"/>
            <w:gridSpan w:val="2"/>
            <w:vMerge/>
          </w:tcPr>
          <w:p w14:paraId="3D8C7E87" w14:textId="774EEA07" w:rsidR="00FF4F5B" w:rsidRPr="00E4719C" w:rsidRDefault="00FF4F5B" w:rsidP="00E4719C">
            <w:pPr>
              <w:rPr>
                <w:i/>
                <w:lang w:val="lv-LV"/>
              </w:rPr>
            </w:pPr>
          </w:p>
        </w:tc>
      </w:tr>
      <w:tr w:rsidR="00FF4F5B" w:rsidRPr="00E4719C" w14:paraId="14959184" w14:textId="77777777" w:rsidTr="00410212">
        <w:tc>
          <w:tcPr>
            <w:tcW w:w="576" w:type="dxa"/>
          </w:tcPr>
          <w:p w14:paraId="6BBF75F2" w14:textId="44BB161C" w:rsidR="00FF4F5B" w:rsidRPr="00E4719C" w:rsidRDefault="00FF4F5B" w:rsidP="00E4719C">
            <w:pPr>
              <w:rPr>
                <w:b/>
              </w:rPr>
            </w:pPr>
            <w:r>
              <w:rPr>
                <w:b/>
              </w:rPr>
              <w:t>1.2</w:t>
            </w:r>
          </w:p>
        </w:tc>
        <w:tc>
          <w:tcPr>
            <w:tcW w:w="3530" w:type="dxa"/>
          </w:tcPr>
          <w:p w14:paraId="2B1CBB61" w14:textId="47A65439" w:rsidR="00FF4F5B" w:rsidRPr="00E4719C" w:rsidRDefault="00FF4F5B" w:rsidP="00E4719C">
            <w:r>
              <w:t xml:space="preserve">Consideration: the scientific quality of the selected research strategy and methodological solutions, </w:t>
            </w:r>
            <w:proofErr w:type="gramStart"/>
            <w:r>
              <w:t>and also</w:t>
            </w:r>
            <w:proofErr w:type="gramEnd"/>
            <w:r>
              <w:t xml:space="preserve"> the suitability for the achievement of the specified objectives and tasks</w:t>
            </w:r>
          </w:p>
        </w:tc>
        <w:tc>
          <w:tcPr>
            <w:tcW w:w="5675" w:type="dxa"/>
            <w:gridSpan w:val="2"/>
            <w:vMerge/>
          </w:tcPr>
          <w:p w14:paraId="084D3276" w14:textId="77777777" w:rsidR="00FF4F5B" w:rsidRPr="00E4719C" w:rsidRDefault="00FF4F5B" w:rsidP="00E4719C">
            <w:pPr>
              <w:rPr>
                <w:lang w:val="lv-LV"/>
              </w:rPr>
            </w:pPr>
          </w:p>
        </w:tc>
      </w:tr>
      <w:tr w:rsidR="00FF4F5B" w:rsidRPr="00E4719C" w14:paraId="5A3D5700" w14:textId="77777777" w:rsidTr="00410212">
        <w:tc>
          <w:tcPr>
            <w:tcW w:w="576" w:type="dxa"/>
          </w:tcPr>
          <w:p w14:paraId="48FC34B8" w14:textId="584C04B1" w:rsidR="00FF4F5B" w:rsidRPr="00E4719C" w:rsidRDefault="00FF4F5B" w:rsidP="00E4719C">
            <w:pPr>
              <w:rPr>
                <w:b/>
              </w:rPr>
            </w:pPr>
            <w:r>
              <w:rPr>
                <w:b/>
              </w:rPr>
              <w:t>1.3</w:t>
            </w:r>
          </w:p>
        </w:tc>
        <w:tc>
          <w:tcPr>
            <w:tcW w:w="3530" w:type="dxa"/>
          </w:tcPr>
          <w:p w14:paraId="0E7F406D" w14:textId="31F2EDB5" w:rsidR="00FF4F5B" w:rsidRPr="00E4719C" w:rsidRDefault="00FF4F5B" w:rsidP="00E4719C">
            <w:r>
              <w:t>Consideration: the ability of the project to generate new knowledge or technological insights</w:t>
            </w:r>
          </w:p>
        </w:tc>
        <w:tc>
          <w:tcPr>
            <w:tcW w:w="5675" w:type="dxa"/>
            <w:gridSpan w:val="2"/>
            <w:vMerge/>
          </w:tcPr>
          <w:p w14:paraId="42D7574F" w14:textId="77777777" w:rsidR="00FF4F5B" w:rsidRPr="00E4719C" w:rsidRDefault="00FF4F5B" w:rsidP="00E4719C">
            <w:pPr>
              <w:rPr>
                <w:lang w:val="lv-LV"/>
              </w:rPr>
            </w:pPr>
          </w:p>
        </w:tc>
      </w:tr>
      <w:tr w:rsidR="00FF4F5B" w:rsidRPr="00E4719C" w14:paraId="1229F790" w14:textId="77777777" w:rsidTr="00410212">
        <w:tc>
          <w:tcPr>
            <w:tcW w:w="576" w:type="dxa"/>
          </w:tcPr>
          <w:p w14:paraId="7E3F8B04" w14:textId="775CCFF1" w:rsidR="00FF4F5B" w:rsidRPr="00E4719C" w:rsidRDefault="00FF4F5B" w:rsidP="00E4719C">
            <w:pPr>
              <w:rPr>
                <w:b/>
              </w:rPr>
            </w:pPr>
            <w:r>
              <w:rPr>
                <w:b/>
              </w:rPr>
              <w:t>1.4</w:t>
            </w:r>
          </w:p>
        </w:tc>
        <w:tc>
          <w:tcPr>
            <w:tcW w:w="3530" w:type="dxa"/>
          </w:tcPr>
          <w:p w14:paraId="66C5077F" w14:textId="6AFD6084" w:rsidR="00FF4F5B" w:rsidRPr="00E4719C" w:rsidRDefault="00FF4F5B" w:rsidP="00E4719C">
            <w:r>
              <w:t>Consideration: the contribution of cooperation partners (if any), their scientific capacity, planned cooperation quality.</w:t>
            </w:r>
          </w:p>
        </w:tc>
        <w:tc>
          <w:tcPr>
            <w:tcW w:w="5675" w:type="dxa"/>
            <w:gridSpan w:val="2"/>
            <w:vMerge/>
          </w:tcPr>
          <w:p w14:paraId="2FBD7478" w14:textId="77777777" w:rsidR="00FF4F5B" w:rsidRPr="00E4719C" w:rsidRDefault="00FF4F5B" w:rsidP="00E4719C">
            <w:pPr>
              <w:rPr>
                <w:lang w:val="lv-LV"/>
              </w:rPr>
            </w:pPr>
          </w:p>
        </w:tc>
      </w:tr>
      <w:tr w:rsidR="004D61A7" w:rsidRPr="00E4719C" w14:paraId="7F9F9317" w14:textId="77777777" w:rsidTr="00410212">
        <w:tc>
          <w:tcPr>
            <w:tcW w:w="576" w:type="dxa"/>
          </w:tcPr>
          <w:p w14:paraId="6F0B0C3A" w14:textId="77777777" w:rsidR="00EE5F77" w:rsidRPr="00E4719C" w:rsidRDefault="00EE5F77" w:rsidP="00E4719C">
            <w:pPr>
              <w:rPr>
                <w:b/>
              </w:rPr>
            </w:pPr>
            <w:r>
              <w:rPr>
                <w:b/>
              </w:rPr>
              <w:t>2</w:t>
            </w:r>
          </w:p>
        </w:tc>
        <w:tc>
          <w:tcPr>
            <w:tcW w:w="5520" w:type="dxa"/>
            <w:gridSpan w:val="2"/>
          </w:tcPr>
          <w:p w14:paraId="15E100C3" w14:textId="1EC908E3" w:rsidR="00EE5F77" w:rsidRPr="00E4719C" w:rsidRDefault="00410212" w:rsidP="00E4719C">
            <w:pPr>
              <w:jc w:val="center"/>
              <w:rPr>
                <w:b/>
              </w:rPr>
            </w:pPr>
            <w:r>
              <w:rPr>
                <w:b/>
              </w:rPr>
              <w:t>Criterion: Impact of Project Results</w:t>
            </w:r>
          </w:p>
        </w:tc>
        <w:tc>
          <w:tcPr>
            <w:tcW w:w="3685" w:type="dxa"/>
          </w:tcPr>
          <w:p w14:paraId="73E6FDB2" w14:textId="77777777" w:rsidR="00EE5F77" w:rsidRPr="00E4719C" w:rsidRDefault="00EE5F77" w:rsidP="00E4719C">
            <w:pPr>
              <w:rPr>
                <w:b/>
              </w:rPr>
            </w:pPr>
            <w:r>
              <w:t>Maximum 5 points</w:t>
            </w:r>
          </w:p>
        </w:tc>
      </w:tr>
      <w:tr w:rsidR="004D61A7" w:rsidRPr="00E4719C" w14:paraId="714C4B48" w14:textId="77777777" w:rsidTr="00410212">
        <w:tc>
          <w:tcPr>
            <w:tcW w:w="576" w:type="dxa"/>
          </w:tcPr>
          <w:p w14:paraId="27DADC42" w14:textId="77777777" w:rsidR="00EE5F77" w:rsidRPr="00E4719C" w:rsidRDefault="00EE5F77" w:rsidP="00E4719C">
            <w:pPr>
              <w:rPr>
                <w:b/>
              </w:rPr>
            </w:pPr>
            <w:r>
              <w:rPr>
                <w:b/>
              </w:rPr>
              <w:t>2.1</w:t>
            </w:r>
          </w:p>
        </w:tc>
        <w:tc>
          <w:tcPr>
            <w:tcW w:w="3530" w:type="dxa"/>
          </w:tcPr>
          <w:p w14:paraId="1240900B" w14:textId="71CA8769" w:rsidR="00EE5F77" w:rsidRPr="00E4719C" w:rsidRDefault="00EE5F77" w:rsidP="00E4719C">
            <w:r>
              <w:t>expected transfer of the acquired knowledge and skills to further activity and the development of scientific capacity</w:t>
            </w:r>
          </w:p>
        </w:tc>
        <w:tc>
          <w:tcPr>
            <w:tcW w:w="5675" w:type="dxa"/>
            <w:gridSpan w:val="2"/>
            <w:vMerge w:val="restart"/>
          </w:tcPr>
          <w:p w14:paraId="3B6FF61D" w14:textId="77777777" w:rsidR="006E2F6D" w:rsidRPr="00E4719C" w:rsidRDefault="006E2F6D" w:rsidP="00E4719C">
            <w:pPr>
              <w:rPr>
                <w:lang w:val="lv-LV"/>
              </w:rPr>
            </w:pPr>
          </w:p>
          <w:p w14:paraId="0149E496" w14:textId="4C55B35B" w:rsidR="00EE5F77" w:rsidRPr="00E4719C" w:rsidRDefault="00EE5F77" w:rsidP="00E4719C">
            <w:pPr>
              <w:rPr>
                <w:i/>
              </w:rPr>
            </w:pPr>
            <w:r>
              <w:rPr>
                <w:i/>
              </w:rPr>
              <w:t xml:space="preserve">The expert shall justify the score given by </w:t>
            </w:r>
            <w:proofErr w:type="gramStart"/>
            <w:r>
              <w:rPr>
                <w:i/>
              </w:rPr>
              <w:t>taking into account</w:t>
            </w:r>
            <w:proofErr w:type="gramEnd"/>
            <w:r>
              <w:rPr>
                <w:i/>
              </w:rPr>
              <w:t xml:space="preserve"> the fulfilment of the criterion as a whole and the sub-criteria thereof. Information which is specific to the criterion is provided in Paragraph 2 “Impact” of Part B “Description of the Project” of the Project Proposal but, upon evaluation of the criterion, the project proposal shall be </w:t>
            </w:r>
            <w:proofErr w:type="gramStart"/>
            <w:r>
              <w:rPr>
                <w:i/>
              </w:rPr>
              <w:t>taken into account</w:t>
            </w:r>
            <w:proofErr w:type="gramEnd"/>
            <w:r>
              <w:rPr>
                <w:i/>
              </w:rPr>
              <w:t xml:space="preserve"> as a whole. </w:t>
            </w:r>
          </w:p>
          <w:p w14:paraId="0AD30EEF" w14:textId="25958941" w:rsidR="00EE5F77" w:rsidRPr="00E4719C" w:rsidRDefault="00EE5F77" w:rsidP="00E4719C">
            <w:pPr>
              <w:rPr>
                <w:i/>
              </w:rPr>
            </w:pPr>
            <w:r>
              <w:rPr>
                <w:i/>
              </w:rPr>
              <w:t xml:space="preserve">The results and their expected impact, including the planned transfer of results in further activity and the development of scientific capacity, the possibilities for further development of research shall be assessed </w:t>
            </w:r>
            <w:r>
              <w:rPr>
                <w:i/>
              </w:rPr>
              <w:lastRenderedPageBreak/>
              <w:t xml:space="preserve">according to the specificities of the relevant field or fields of science and specificities of the project, </w:t>
            </w:r>
            <w:proofErr w:type="gramStart"/>
            <w:r>
              <w:rPr>
                <w:i/>
              </w:rPr>
              <w:t>and also</w:t>
            </w:r>
            <w:proofErr w:type="gramEnd"/>
            <w:r>
              <w:rPr>
                <w:i/>
              </w:rPr>
              <w:t xml:space="preserve"> the specificities of the institution of the Project Applicant and the specificities of the institutions of the project cooperation partners (if any). </w:t>
            </w:r>
          </w:p>
          <w:p w14:paraId="5DF0A264" w14:textId="156C88FD" w:rsidR="00EE5F77" w:rsidRPr="00E4719C" w:rsidRDefault="00EE5F77" w:rsidP="00E4719C">
            <w:pPr>
              <w:rPr>
                <w:i/>
              </w:rPr>
            </w:pPr>
            <w:r>
              <w:rPr>
                <w:i/>
              </w:rPr>
              <w:t>The expert shall assess how effectively the project engages students and young scientists in relation to the overall workload of the scientific group, including a plan for engaging students and building the capacity of the scientific group within the framework of the project. Information on the workload of the project scientific group, including students, can be found in Chapter 2 “Scientific Group” and Chapter 3 “Budget” of Part A “General Information” of the Project Proposal.</w:t>
            </w:r>
          </w:p>
          <w:p w14:paraId="3C3332AB" w14:textId="6770D7AE" w:rsidR="007750AF" w:rsidRPr="00E4719C" w:rsidRDefault="00EE5F77" w:rsidP="00E4719C">
            <w:pPr>
              <w:rPr>
                <w:i/>
              </w:rPr>
            </w:pPr>
            <w:r>
              <w:rPr>
                <w:i/>
              </w:rPr>
              <w:t>Sustainability of the project results is assessed in relation to the expected scientific publications and the dissemination of the project results in scientific conferences. Information on the dissemination of the project results can be found in the Project Proposal description (Part B), Sub-chapter 2.5 “Scientific Results of the Project and Ensuring Access Thereto</w:t>
            </w:r>
            <w:proofErr w:type="gramStart"/>
            <w:r>
              <w:rPr>
                <w:i/>
              </w:rPr>
              <w:t>”.</w:t>
            </w:r>
            <w:proofErr w:type="gramEnd"/>
            <w:r>
              <w:rPr>
                <w:i/>
              </w:rPr>
              <w:t xml:space="preserve"> Particular attention should be paid to ensuring the sustainability of results, following the principles of Open Access, Open Data, FAIR (findable, accessible, interoperable, reusable), </w:t>
            </w:r>
            <w:proofErr w:type="gramStart"/>
            <w:r>
              <w:rPr>
                <w:i/>
              </w:rPr>
              <w:t>and also</w:t>
            </w:r>
            <w:proofErr w:type="gramEnd"/>
            <w:r>
              <w:rPr>
                <w:i/>
              </w:rPr>
              <w:t xml:space="preserve"> to the selection of the Project Applicant for data deposition.</w:t>
            </w:r>
          </w:p>
          <w:p w14:paraId="618974A2" w14:textId="30FF1203" w:rsidR="00BF2537" w:rsidRPr="00E4719C" w:rsidRDefault="000C6E2C" w:rsidP="00E4719C">
            <w:pPr>
              <w:rPr>
                <w:i/>
                <w:highlight w:val="yellow"/>
              </w:rPr>
            </w:pPr>
            <w:r>
              <w:rPr>
                <w:i/>
              </w:rPr>
              <w:t xml:space="preserve">The potential of the project to raise public awareness of the project results and to increase the socio-economic impact of the project results should be </w:t>
            </w:r>
            <w:proofErr w:type="gramStart"/>
            <w:r>
              <w:rPr>
                <w:i/>
              </w:rPr>
              <w:t>taken into account</w:t>
            </w:r>
            <w:proofErr w:type="gramEnd"/>
            <w:r>
              <w:rPr>
                <w:i/>
              </w:rPr>
              <w:t xml:space="preserve"> (Sub-chapters 2.2-2.5 of the description of the Project Proposal). Evaluation of whether the plans described in the Project Proposal for applying and transferring the results of the research to end-users are adequate and feasible. Evaluation of the collaboration of the Project Applicant with other scientific institutions </w:t>
            </w:r>
            <w:proofErr w:type="gramStart"/>
            <w:r>
              <w:rPr>
                <w:i/>
              </w:rPr>
              <w:t>and also</w:t>
            </w:r>
            <w:proofErr w:type="gramEnd"/>
            <w:r>
              <w:rPr>
                <w:i/>
              </w:rPr>
              <w:t xml:space="preserve"> with public institutions, NGOs, and entrepreneurs.</w:t>
            </w:r>
          </w:p>
        </w:tc>
      </w:tr>
      <w:tr w:rsidR="004D61A7" w:rsidRPr="00E4719C" w14:paraId="79B27674" w14:textId="77777777" w:rsidTr="00410212">
        <w:tc>
          <w:tcPr>
            <w:tcW w:w="576" w:type="dxa"/>
          </w:tcPr>
          <w:p w14:paraId="16F10098" w14:textId="77777777" w:rsidR="00EE5F77" w:rsidRPr="00E4719C" w:rsidRDefault="00EE5F77" w:rsidP="00E4719C">
            <w:pPr>
              <w:rPr>
                <w:b/>
              </w:rPr>
            </w:pPr>
            <w:r>
              <w:rPr>
                <w:b/>
              </w:rPr>
              <w:t>2.2</w:t>
            </w:r>
          </w:p>
        </w:tc>
        <w:tc>
          <w:tcPr>
            <w:tcW w:w="3530" w:type="dxa"/>
          </w:tcPr>
          <w:p w14:paraId="36B08F60" w14:textId="7FD00E13" w:rsidR="00EE5F77" w:rsidRPr="00E4719C" w:rsidRDefault="00EE5F77" w:rsidP="00E4719C">
            <w:r>
              <w:t xml:space="preserve">research development possibilities, including contribution to the preparation of new projects for submission in tenders of the European Union framework programmes for research and innovation and other research and innovation aid </w:t>
            </w:r>
            <w:r>
              <w:lastRenderedPageBreak/>
              <w:t>programmes and technology initiatives;</w:t>
            </w:r>
          </w:p>
        </w:tc>
        <w:tc>
          <w:tcPr>
            <w:tcW w:w="5675" w:type="dxa"/>
            <w:gridSpan w:val="2"/>
            <w:vMerge/>
          </w:tcPr>
          <w:p w14:paraId="2E792CA5" w14:textId="77777777" w:rsidR="00EE5F77" w:rsidRPr="00E4719C" w:rsidRDefault="00EE5F77" w:rsidP="00E4719C">
            <w:pPr>
              <w:rPr>
                <w:lang w:val="lv-LV"/>
              </w:rPr>
            </w:pPr>
          </w:p>
        </w:tc>
      </w:tr>
      <w:tr w:rsidR="004D61A7" w:rsidRPr="00E4719C" w14:paraId="2F98CE43" w14:textId="77777777" w:rsidTr="00410212">
        <w:tc>
          <w:tcPr>
            <w:tcW w:w="576" w:type="dxa"/>
          </w:tcPr>
          <w:p w14:paraId="4E77290A" w14:textId="77777777" w:rsidR="00EE5F77" w:rsidRPr="00E4719C" w:rsidRDefault="00EE5F77" w:rsidP="00E4719C">
            <w:pPr>
              <w:rPr>
                <w:b/>
              </w:rPr>
            </w:pPr>
            <w:r>
              <w:rPr>
                <w:b/>
              </w:rPr>
              <w:t>2.3</w:t>
            </w:r>
          </w:p>
        </w:tc>
        <w:tc>
          <w:tcPr>
            <w:tcW w:w="3530" w:type="dxa"/>
          </w:tcPr>
          <w:p w14:paraId="4C6E49DC" w14:textId="548B7EEC" w:rsidR="00EE5F77" w:rsidRPr="00E4719C" w:rsidRDefault="00EE5F77" w:rsidP="00E4719C">
            <w:r>
              <w:t>research will generate knowledge or policy recommendations and solutions relevant to the sector, the economy, and society</w:t>
            </w:r>
          </w:p>
        </w:tc>
        <w:tc>
          <w:tcPr>
            <w:tcW w:w="5675" w:type="dxa"/>
            <w:gridSpan w:val="2"/>
            <w:vMerge/>
          </w:tcPr>
          <w:p w14:paraId="3E1465F9" w14:textId="77777777" w:rsidR="00EE5F77" w:rsidRPr="00E4719C" w:rsidRDefault="00EE5F77" w:rsidP="00E4719C">
            <w:pPr>
              <w:rPr>
                <w:lang w:val="lv-LV"/>
              </w:rPr>
            </w:pPr>
          </w:p>
        </w:tc>
      </w:tr>
      <w:tr w:rsidR="004D61A7" w:rsidRPr="00E4719C" w14:paraId="2A88898B" w14:textId="77777777" w:rsidTr="00410212">
        <w:tc>
          <w:tcPr>
            <w:tcW w:w="576" w:type="dxa"/>
          </w:tcPr>
          <w:p w14:paraId="142D9AC9" w14:textId="77777777" w:rsidR="00EE5F77" w:rsidRPr="00E4719C" w:rsidRDefault="00EE5F77" w:rsidP="00E4719C">
            <w:pPr>
              <w:rPr>
                <w:b/>
              </w:rPr>
            </w:pPr>
            <w:r>
              <w:rPr>
                <w:b/>
              </w:rPr>
              <w:t>2.4</w:t>
            </w:r>
          </w:p>
        </w:tc>
        <w:tc>
          <w:tcPr>
            <w:tcW w:w="3530" w:type="dxa"/>
          </w:tcPr>
          <w:p w14:paraId="3497DE92" w14:textId="77777777" w:rsidR="00EE5F77" w:rsidRPr="00E4719C" w:rsidRDefault="00EE5F77" w:rsidP="00E4719C">
            <w:r>
              <w:t>sustainability of the knowledge generated and a qualitative dissemination plan, including planned scientific publications and public outreach</w:t>
            </w:r>
          </w:p>
        </w:tc>
        <w:tc>
          <w:tcPr>
            <w:tcW w:w="5675" w:type="dxa"/>
            <w:gridSpan w:val="2"/>
            <w:vMerge/>
          </w:tcPr>
          <w:p w14:paraId="414260CE" w14:textId="77777777" w:rsidR="00EE5F77" w:rsidRPr="00E4719C" w:rsidRDefault="00EE5F77" w:rsidP="00E4719C">
            <w:pPr>
              <w:rPr>
                <w:lang w:val="lv-LV"/>
              </w:rPr>
            </w:pPr>
          </w:p>
        </w:tc>
      </w:tr>
      <w:tr w:rsidR="004D61A7" w:rsidRPr="00E4719C" w14:paraId="387C9E66" w14:textId="77777777" w:rsidTr="00410212">
        <w:tc>
          <w:tcPr>
            <w:tcW w:w="576" w:type="dxa"/>
          </w:tcPr>
          <w:p w14:paraId="531150A4" w14:textId="77777777" w:rsidR="00EE5F77" w:rsidRPr="00E4719C" w:rsidRDefault="00EE5F77" w:rsidP="00E4719C">
            <w:pPr>
              <w:rPr>
                <w:b/>
              </w:rPr>
            </w:pPr>
            <w:r>
              <w:rPr>
                <w:b/>
              </w:rPr>
              <w:t>2.5</w:t>
            </w:r>
          </w:p>
        </w:tc>
        <w:tc>
          <w:tcPr>
            <w:tcW w:w="3530" w:type="dxa"/>
          </w:tcPr>
          <w:p w14:paraId="5A4F97CA" w14:textId="77777777" w:rsidR="00EE5F77" w:rsidRPr="00E4719C" w:rsidRDefault="00EE5F77" w:rsidP="00E4719C">
            <w:r>
              <w:t>the implementation of the research contributes to strengthening the scientific capacities of the research staff, including students</w:t>
            </w:r>
          </w:p>
        </w:tc>
        <w:tc>
          <w:tcPr>
            <w:tcW w:w="5675" w:type="dxa"/>
            <w:gridSpan w:val="2"/>
            <w:vMerge/>
          </w:tcPr>
          <w:p w14:paraId="3A7F1605" w14:textId="77777777" w:rsidR="00EE5F77" w:rsidRPr="00E4719C" w:rsidRDefault="00EE5F77" w:rsidP="00E4719C">
            <w:pPr>
              <w:rPr>
                <w:lang w:val="lv-LV"/>
              </w:rPr>
            </w:pPr>
          </w:p>
        </w:tc>
      </w:tr>
      <w:tr w:rsidR="004D61A7" w:rsidRPr="00E4719C" w14:paraId="3C9C6E10" w14:textId="77777777" w:rsidTr="00410212">
        <w:tc>
          <w:tcPr>
            <w:tcW w:w="576" w:type="dxa"/>
          </w:tcPr>
          <w:p w14:paraId="1FD58E11" w14:textId="77777777" w:rsidR="00EE5F77" w:rsidRPr="00E4719C" w:rsidRDefault="00EE5F77" w:rsidP="00E4719C">
            <w:pPr>
              <w:rPr>
                <w:b/>
              </w:rPr>
            </w:pPr>
            <w:r>
              <w:rPr>
                <w:b/>
              </w:rPr>
              <w:t>3</w:t>
            </w:r>
          </w:p>
        </w:tc>
        <w:tc>
          <w:tcPr>
            <w:tcW w:w="5520" w:type="dxa"/>
            <w:gridSpan w:val="2"/>
          </w:tcPr>
          <w:p w14:paraId="5EB7E1F0" w14:textId="656FE5B0" w:rsidR="00EE5F77" w:rsidRPr="00E4719C" w:rsidRDefault="00410212" w:rsidP="00E4719C">
            <w:pPr>
              <w:jc w:val="center"/>
              <w:rPr>
                <w:b/>
              </w:rPr>
            </w:pPr>
            <w:r>
              <w:rPr>
                <w:b/>
              </w:rPr>
              <w:t>Criterion: Project Feasibility and Provisions</w:t>
            </w:r>
          </w:p>
        </w:tc>
        <w:tc>
          <w:tcPr>
            <w:tcW w:w="3685" w:type="dxa"/>
          </w:tcPr>
          <w:p w14:paraId="4F63A421" w14:textId="77777777" w:rsidR="00EE5F77" w:rsidRPr="00E4719C" w:rsidRDefault="00EE5F77" w:rsidP="00E4719C">
            <w:r>
              <w:t>Maximum 5 points</w:t>
            </w:r>
          </w:p>
        </w:tc>
      </w:tr>
      <w:tr w:rsidR="004D61A7" w:rsidRPr="00E4719C" w14:paraId="710F39D0" w14:textId="77777777" w:rsidTr="00410212">
        <w:tc>
          <w:tcPr>
            <w:tcW w:w="576" w:type="dxa"/>
          </w:tcPr>
          <w:p w14:paraId="5837411D" w14:textId="77777777" w:rsidR="00EE5F77" w:rsidRPr="00E4719C" w:rsidRDefault="00EE5F77" w:rsidP="00E4719C">
            <w:pPr>
              <w:rPr>
                <w:b/>
              </w:rPr>
            </w:pPr>
            <w:r>
              <w:rPr>
                <w:b/>
              </w:rPr>
              <w:t>3.1</w:t>
            </w:r>
          </w:p>
        </w:tc>
        <w:tc>
          <w:tcPr>
            <w:tcW w:w="3530" w:type="dxa"/>
          </w:tcPr>
          <w:p w14:paraId="5AC9E58D" w14:textId="77777777" w:rsidR="00EE5F77" w:rsidRPr="00E4719C" w:rsidRDefault="00EE5F77" w:rsidP="00E4719C">
            <w:r>
              <w:t>quality of the research work plan and its relevance to the objective. The intended resources are adequate and sufficient for the achievement of the objective. It is intended to ensure efficient use of resources in the research. The planned work stages and tasks are clearly defined, relevant, and reliable</w:t>
            </w:r>
          </w:p>
        </w:tc>
        <w:tc>
          <w:tcPr>
            <w:tcW w:w="5675" w:type="dxa"/>
            <w:gridSpan w:val="2"/>
            <w:vMerge w:val="restart"/>
          </w:tcPr>
          <w:p w14:paraId="47355A6B" w14:textId="77777777" w:rsidR="006E2F6D" w:rsidRPr="00E4719C" w:rsidRDefault="006E2F6D" w:rsidP="00E4719C">
            <w:pPr>
              <w:rPr>
                <w:lang w:val="lv-LV"/>
              </w:rPr>
            </w:pPr>
          </w:p>
          <w:p w14:paraId="366CAEE3" w14:textId="7436779E" w:rsidR="00EE5F77" w:rsidRPr="00E4719C" w:rsidRDefault="00EE5F77" w:rsidP="00E4719C">
            <w:pPr>
              <w:rPr>
                <w:i/>
              </w:rPr>
            </w:pPr>
            <w:r>
              <w:rPr>
                <w:i/>
              </w:rPr>
              <w:t xml:space="preserve">The expert shall justify the score given by </w:t>
            </w:r>
            <w:proofErr w:type="gramStart"/>
            <w:r>
              <w:rPr>
                <w:i/>
              </w:rPr>
              <w:t>taking into account</w:t>
            </w:r>
            <w:proofErr w:type="gramEnd"/>
            <w:r>
              <w:rPr>
                <w:i/>
              </w:rPr>
              <w:t xml:space="preserve"> the fulfilment of the criterion as a whole and the sub-criteria thereof. Specific information for the criterion is given in Chapter 3 “Implementation” of the Project Proposal and in Part C “Curriculum Vitae” of the Project Proposal, but the evaluation of the criterion must </w:t>
            </w:r>
            <w:proofErr w:type="gramStart"/>
            <w:r>
              <w:rPr>
                <w:i/>
              </w:rPr>
              <w:t>take into account</w:t>
            </w:r>
            <w:proofErr w:type="gramEnd"/>
            <w:r>
              <w:rPr>
                <w:i/>
              </w:rPr>
              <w:t xml:space="preserve"> the Project Proposal as a whole. </w:t>
            </w:r>
          </w:p>
          <w:p w14:paraId="027E0480" w14:textId="715D4CE9" w:rsidR="00EE5F77" w:rsidRPr="00E4719C" w:rsidRDefault="00EE5F77" w:rsidP="00E4719C">
            <w:pPr>
              <w:rPr>
                <w:i/>
              </w:rPr>
            </w:pPr>
            <w:r>
              <w:rPr>
                <w:i/>
              </w:rPr>
              <w:t xml:space="preserve">Feasibility of the project, including the prepared research work plan, the envisaged management and quality control of the research, information provided on the data management plan, the envisaged resources, accessible infrastructure, shall be evaluated according to the specificities of the relevant field or fields of science and specificities of the project, </w:t>
            </w:r>
            <w:proofErr w:type="gramStart"/>
            <w:r>
              <w:rPr>
                <w:i/>
              </w:rPr>
              <w:t>and also</w:t>
            </w:r>
            <w:proofErr w:type="gramEnd"/>
            <w:r>
              <w:rPr>
                <w:i/>
              </w:rPr>
              <w:t xml:space="preserve"> the specificities </w:t>
            </w:r>
            <w:r>
              <w:rPr>
                <w:i/>
              </w:rPr>
              <w:lastRenderedPageBreak/>
              <w:t xml:space="preserve">of the Project Applicant and the cooperation partner(s) (if any). </w:t>
            </w:r>
          </w:p>
          <w:p w14:paraId="377F414C" w14:textId="5ED01417" w:rsidR="00EE5F77" w:rsidRPr="00E4719C" w:rsidRDefault="00EE5F77" w:rsidP="00E4719C">
            <w:pPr>
              <w:rPr>
                <w:i/>
              </w:rPr>
            </w:pPr>
            <w:r>
              <w:rPr>
                <w:i/>
              </w:rPr>
              <w:t xml:space="preserve">The expert shall evaluate the relevance of the scientific qualifications and experience of the project manager and the main participants to the achievement of the project objectives and the performance of the tasks envisaged </w:t>
            </w:r>
            <w:proofErr w:type="gramStart"/>
            <w:r>
              <w:rPr>
                <w:i/>
              </w:rPr>
              <w:t>on the basis of</w:t>
            </w:r>
            <w:proofErr w:type="gramEnd"/>
            <w:r>
              <w:rPr>
                <w:i/>
              </w:rPr>
              <w:t xml:space="preserve"> the curriculum vitae submitted in Part C “Curriculum Vitae” of the Project Proposal.</w:t>
            </w:r>
          </w:p>
          <w:p w14:paraId="27F8CD31" w14:textId="6BB8E9A2" w:rsidR="00EE5F77" w:rsidRPr="00E4719C" w:rsidRDefault="00EE5F77" w:rsidP="00E4719C">
            <w:pPr>
              <w:rPr>
                <w:i/>
              </w:rPr>
            </w:pPr>
            <w:r>
              <w:rPr>
                <w:i/>
              </w:rPr>
              <w:t xml:space="preserve">The planned implementation of the project shall be evaluated in relation to the completed Project Proposal in Chapter 3 “Budget” of Part A “General Information” which foresees the costs of the project team’s salary, material and technical support, </w:t>
            </w:r>
            <w:proofErr w:type="gramStart"/>
            <w:r>
              <w:rPr>
                <w:i/>
              </w:rPr>
              <w:t>travel</w:t>
            </w:r>
            <w:proofErr w:type="gramEnd"/>
            <w:r>
              <w:rPr>
                <w:i/>
              </w:rPr>
              <w:t xml:space="preserve"> and publication costs.</w:t>
            </w:r>
          </w:p>
          <w:p w14:paraId="7207967E" w14:textId="2FE7DA13" w:rsidR="00435099" w:rsidRPr="00E4719C" w:rsidRDefault="00435099" w:rsidP="00E4719C">
            <w:r>
              <w:rPr>
                <w:i/>
                <w:iCs/>
              </w:rPr>
              <w:t>The expert shall also evaluate</w:t>
            </w:r>
            <w:r>
              <w:rPr>
                <w:i/>
              </w:rPr>
              <w:t xml:space="preserve"> whether internal monitoring and risk management mechanisms are in place (research teams/</w:t>
            </w:r>
            <w:r>
              <w:rPr>
                <w:i/>
                <w:iCs/>
              </w:rPr>
              <w:t>steering committee</w:t>
            </w:r>
            <w:r>
              <w:rPr>
                <w:i/>
              </w:rPr>
              <w:t>).</w:t>
            </w:r>
          </w:p>
          <w:p w14:paraId="58F2B49B" w14:textId="77777777" w:rsidR="00435099" w:rsidRPr="00E4719C" w:rsidRDefault="00435099" w:rsidP="00E4719C">
            <w:pPr>
              <w:rPr>
                <w:lang w:val="lv-LV"/>
              </w:rPr>
            </w:pPr>
          </w:p>
          <w:p w14:paraId="0EE48D59" w14:textId="77777777" w:rsidR="00EE5F77" w:rsidRPr="00E4719C" w:rsidRDefault="00EE5F77" w:rsidP="00E4719C">
            <w:pPr>
              <w:rPr>
                <w:lang w:val="lv-LV"/>
              </w:rPr>
            </w:pPr>
          </w:p>
        </w:tc>
      </w:tr>
      <w:tr w:rsidR="004D61A7" w:rsidRPr="00E4719C" w14:paraId="7C35E210" w14:textId="77777777" w:rsidTr="00410212">
        <w:tc>
          <w:tcPr>
            <w:tcW w:w="576" w:type="dxa"/>
          </w:tcPr>
          <w:p w14:paraId="7029E063" w14:textId="77777777" w:rsidR="00EE5F77" w:rsidRPr="00E4719C" w:rsidRDefault="00EE5F77" w:rsidP="00E4719C">
            <w:pPr>
              <w:rPr>
                <w:b/>
              </w:rPr>
            </w:pPr>
            <w:r>
              <w:rPr>
                <w:b/>
              </w:rPr>
              <w:t>3.2</w:t>
            </w:r>
          </w:p>
        </w:tc>
        <w:tc>
          <w:tcPr>
            <w:tcW w:w="3530" w:type="dxa"/>
          </w:tcPr>
          <w:p w14:paraId="119231AD" w14:textId="6CA5C5DE" w:rsidR="00EE5F77" w:rsidRPr="00E4719C" w:rsidRDefault="00EE5F77" w:rsidP="00E4719C">
            <w:r>
              <w:t xml:space="preserve">scientific qualifications of the project manager and of the main project participants </w:t>
            </w:r>
            <w:proofErr w:type="gramStart"/>
            <w:r>
              <w:t>on the basis of</w:t>
            </w:r>
            <w:proofErr w:type="gramEnd"/>
            <w:r>
              <w:t xml:space="preserve"> the submitted curriculum vitae (CV)</w:t>
            </w:r>
          </w:p>
        </w:tc>
        <w:tc>
          <w:tcPr>
            <w:tcW w:w="5675" w:type="dxa"/>
            <w:gridSpan w:val="2"/>
            <w:vMerge/>
          </w:tcPr>
          <w:p w14:paraId="30886921" w14:textId="77777777" w:rsidR="00EE5F77" w:rsidRPr="00E4719C" w:rsidRDefault="00EE5F77" w:rsidP="00E4719C">
            <w:pPr>
              <w:rPr>
                <w:lang w:val="lv-LV"/>
              </w:rPr>
            </w:pPr>
          </w:p>
        </w:tc>
      </w:tr>
      <w:tr w:rsidR="004D61A7" w:rsidRPr="00E4719C" w14:paraId="7543E5F9" w14:textId="77777777" w:rsidTr="00410212">
        <w:tc>
          <w:tcPr>
            <w:tcW w:w="576" w:type="dxa"/>
          </w:tcPr>
          <w:p w14:paraId="3A2E802A" w14:textId="77777777" w:rsidR="00EE5F77" w:rsidRPr="00E4719C" w:rsidRDefault="00EE5F77" w:rsidP="00E4719C">
            <w:pPr>
              <w:rPr>
                <w:b/>
              </w:rPr>
            </w:pPr>
            <w:r>
              <w:rPr>
                <w:b/>
              </w:rPr>
              <w:lastRenderedPageBreak/>
              <w:t>3.3</w:t>
            </w:r>
          </w:p>
        </w:tc>
        <w:tc>
          <w:tcPr>
            <w:tcW w:w="3530" w:type="dxa"/>
          </w:tcPr>
          <w:p w14:paraId="24F7AAF1" w14:textId="06FF506D" w:rsidR="00EE5F77" w:rsidRPr="00E4719C" w:rsidRDefault="00C71E7E" w:rsidP="00E4719C">
            <w:r>
              <w:t>quality management of the project is intended. The management organisation allows to follow the progress of the research. Potential risks have been evaluated and a plan for the prevention thereof or minimisation of the negative impact thereof has been developed</w:t>
            </w:r>
          </w:p>
        </w:tc>
        <w:tc>
          <w:tcPr>
            <w:tcW w:w="5675" w:type="dxa"/>
            <w:gridSpan w:val="2"/>
            <w:vMerge/>
          </w:tcPr>
          <w:p w14:paraId="4C65B7AB" w14:textId="77777777" w:rsidR="00EE5F77" w:rsidRPr="00E4719C" w:rsidRDefault="00EE5F77" w:rsidP="00E4719C">
            <w:pPr>
              <w:rPr>
                <w:lang w:val="lv-LV"/>
              </w:rPr>
            </w:pPr>
          </w:p>
        </w:tc>
      </w:tr>
      <w:tr w:rsidR="004D61A7" w:rsidRPr="00E4719C" w14:paraId="0D02D7AB" w14:textId="77777777" w:rsidTr="00410212">
        <w:tc>
          <w:tcPr>
            <w:tcW w:w="576" w:type="dxa"/>
          </w:tcPr>
          <w:p w14:paraId="48DA6CE7" w14:textId="77777777" w:rsidR="00EE5F77" w:rsidRPr="00E4719C" w:rsidRDefault="00EE5F77" w:rsidP="00E4719C">
            <w:pPr>
              <w:rPr>
                <w:b/>
              </w:rPr>
            </w:pPr>
            <w:r>
              <w:rPr>
                <w:b/>
              </w:rPr>
              <w:t>3.4</w:t>
            </w:r>
          </w:p>
        </w:tc>
        <w:tc>
          <w:tcPr>
            <w:tcW w:w="3530" w:type="dxa"/>
          </w:tcPr>
          <w:p w14:paraId="7E90C609" w14:textId="3C80CF5D" w:rsidR="00EE5F77" w:rsidRPr="00E4719C" w:rsidRDefault="00671285" w:rsidP="00E4719C">
            <w:r>
              <w:t>there is the research infrastructure necessary for carrying out the research and access to another research infrastructure of co-operation partners (if applicable)</w:t>
            </w:r>
          </w:p>
        </w:tc>
        <w:tc>
          <w:tcPr>
            <w:tcW w:w="5675" w:type="dxa"/>
            <w:gridSpan w:val="2"/>
            <w:vMerge/>
          </w:tcPr>
          <w:p w14:paraId="130A4B99" w14:textId="77777777" w:rsidR="00EE5F77" w:rsidRPr="00E4719C" w:rsidRDefault="00EE5F77" w:rsidP="00E4719C">
            <w:pPr>
              <w:rPr>
                <w:lang w:val="lv-LV"/>
              </w:rPr>
            </w:pPr>
          </w:p>
        </w:tc>
      </w:tr>
      <w:tr w:rsidR="004D61A7" w:rsidRPr="00E4719C" w14:paraId="72D50A9D" w14:textId="77777777" w:rsidTr="00410212">
        <w:tc>
          <w:tcPr>
            <w:tcW w:w="576" w:type="dxa"/>
          </w:tcPr>
          <w:p w14:paraId="41187F9B" w14:textId="77777777" w:rsidR="00EE5F77" w:rsidRPr="00E4719C" w:rsidRDefault="00EE5F77" w:rsidP="00E4719C">
            <w:pPr>
              <w:rPr>
                <w:b/>
              </w:rPr>
            </w:pPr>
            <w:r>
              <w:rPr>
                <w:b/>
              </w:rPr>
              <w:t>3.5</w:t>
            </w:r>
          </w:p>
        </w:tc>
        <w:tc>
          <w:tcPr>
            <w:tcW w:w="3530" w:type="dxa"/>
          </w:tcPr>
          <w:p w14:paraId="63E437E5" w14:textId="6DE27D28" w:rsidR="00EE5F77" w:rsidRPr="00E4719C" w:rsidRDefault="00EE5F77" w:rsidP="00E4719C">
            <w:r>
              <w:t xml:space="preserve">the institution which is implementing the research and its co-operation partners (if applicable) have the knowledge necessary for implementation of the project </w:t>
            </w:r>
          </w:p>
        </w:tc>
        <w:tc>
          <w:tcPr>
            <w:tcW w:w="5675" w:type="dxa"/>
            <w:gridSpan w:val="2"/>
            <w:vMerge/>
          </w:tcPr>
          <w:p w14:paraId="45413D2F" w14:textId="77777777" w:rsidR="00EE5F77" w:rsidRPr="00E4719C" w:rsidRDefault="00EE5F77" w:rsidP="00E4719C">
            <w:pPr>
              <w:rPr>
                <w:lang w:val="lv-LV"/>
              </w:rPr>
            </w:pPr>
          </w:p>
        </w:tc>
      </w:tr>
      <w:tr w:rsidR="00DA370D" w:rsidRPr="00E4719C" w14:paraId="5C44F511" w14:textId="77777777" w:rsidTr="0089617E">
        <w:tc>
          <w:tcPr>
            <w:tcW w:w="4106" w:type="dxa"/>
            <w:gridSpan w:val="2"/>
          </w:tcPr>
          <w:p w14:paraId="5BA6BC08" w14:textId="5CF639B4" w:rsidR="00DA370D" w:rsidRPr="00E4719C" w:rsidRDefault="00DA370D" w:rsidP="00E4719C">
            <w:r>
              <w:t>Expert recommendations for project implementation</w:t>
            </w:r>
          </w:p>
        </w:tc>
        <w:tc>
          <w:tcPr>
            <w:tcW w:w="5675" w:type="dxa"/>
            <w:gridSpan w:val="2"/>
          </w:tcPr>
          <w:p w14:paraId="268876DE" w14:textId="2EA4D3FB" w:rsidR="00DA370D" w:rsidRPr="00E4719C" w:rsidRDefault="00DA370D" w:rsidP="00E4719C">
            <w:pPr>
              <w:rPr>
                <w:i/>
                <w:iCs/>
              </w:rPr>
            </w:pPr>
            <w:r>
              <w:rPr>
                <w:i/>
              </w:rPr>
              <w:t>The expert shall make recommendations (if any) to the project implementer to ensure a more successful implementation of the project.</w:t>
            </w:r>
          </w:p>
        </w:tc>
      </w:tr>
      <w:tr w:rsidR="00DA370D" w:rsidRPr="00E4719C" w14:paraId="3624FC71" w14:textId="77777777" w:rsidTr="0089617E">
        <w:tc>
          <w:tcPr>
            <w:tcW w:w="4106" w:type="dxa"/>
            <w:gridSpan w:val="2"/>
          </w:tcPr>
          <w:p w14:paraId="1EE0047B" w14:textId="1D6A5555" w:rsidR="00DA370D" w:rsidRPr="00E4719C" w:rsidRDefault="00DA370D" w:rsidP="00E4719C">
            <w:pPr>
              <w:rPr>
                <w:iCs/>
              </w:rPr>
            </w:pPr>
            <w:r>
              <w:t>Potential risks in project implementation</w:t>
            </w:r>
          </w:p>
        </w:tc>
        <w:tc>
          <w:tcPr>
            <w:tcW w:w="5675" w:type="dxa"/>
            <w:gridSpan w:val="2"/>
          </w:tcPr>
          <w:p w14:paraId="1318B6AE" w14:textId="0BB0DDCD" w:rsidR="00DA370D" w:rsidRPr="00E4719C" w:rsidRDefault="00DA370D" w:rsidP="00E4719C">
            <w:pPr>
              <w:rPr>
                <w:i/>
                <w:iCs/>
              </w:rPr>
            </w:pPr>
            <w:r>
              <w:rPr>
                <w:i/>
              </w:rPr>
              <w:t>The expert shall indicate the risks (if any) in the implementation of the project and whether they are low, medium, or high.</w:t>
            </w:r>
          </w:p>
        </w:tc>
      </w:tr>
    </w:tbl>
    <w:p w14:paraId="7205215E" w14:textId="77777777" w:rsidR="00EE5F77" w:rsidRPr="00E4719C" w:rsidRDefault="00EE5F77" w:rsidP="00E4719C">
      <w:pPr>
        <w:rPr>
          <w:lang w:val="lv-LV"/>
        </w:rPr>
      </w:pPr>
    </w:p>
    <w:p w14:paraId="49DE0890" w14:textId="76EFFEFB" w:rsidR="00EE5F77" w:rsidRPr="00E4719C" w:rsidRDefault="006E2F6D" w:rsidP="00E4719C">
      <w:pPr>
        <w:pStyle w:val="Heading2"/>
      </w:pPr>
      <w:bookmarkStart w:id="7" w:name="_Toc513469511"/>
      <w:bookmarkStart w:id="8" w:name="_Toc143245577"/>
      <w:r>
        <w:t>2.2 Consolidated Evaluation of the Project Proposal</w:t>
      </w:r>
      <w:bookmarkEnd w:id="7"/>
      <w:bookmarkEnd w:id="8"/>
    </w:p>
    <w:p w14:paraId="5E16F5BD" w14:textId="06376941" w:rsidR="00D57270" w:rsidRPr="00E4719C" w:rsidRDefault="00D57270" w:rsidP="00E4719C">
      <w:pPr>
        <w:ind w:firstLine="709"/>
      </w:pPr>
      <w:r>
        <w:t>14 After receipt of the individual expert assessments on all project applications in the Information System, the Council shall, via online video conference (real-time video and audio transmission) organise and implement an expert panel discussion for the experts responsible for the preparation of the consolidated expert assessment of the project applications, setting up an expert panel for all the project applications submitted for the task achievement referred to in Section 6 of the Cabinet Order (hereinafter referred to as – the panel).</w:t>
      </w:r>
    </w:p>
    <w:p w14:paraId="31DE3F1C" w14:textId="77777777" w:rsidR="00D57270" w:rsidRPr="00E4719C" w:rsidRDefault="00D57270" w:rsidP="00E4719C">
      <w:pPr>
        <w:ind w:firstLine="709"/>
        <w:rPr>
          <w:lang w:val="lv-LV"/>
        </w:rPr>
      </w:pPr>
    </w:p>
    <w:p w14:paraId="3627DAC8" w14:textId="31EDCF84" w:rsidR="00D57270" w:rsidRPr="00E4719C" w:rsidRDefault="00D57270" w:rsidP="00E4719C">
      <w:pPr>
        <w:ind w:firstLine="709"/>
      </w:pPr>
      <w:r>
        <w:t>15 Within three working days following the conclusion of the panel, the expert responsible for the preparation of the consolidated expert evaluation of the respective Project Proposal shall, taking into account the individual evaluations by experts of the respective Project Proposal and also the panel results, complete the consolidated expert evaluation of the respective Project Proposal (hereinafter – the consolidated evaluation of the expert) in the Information System in accordance with Annex 8 “Form for Individual/Consolidated Evaluation of the Project Proposal Expert Evaluation” to the Regulations and shall, within three working days, agree thereon with other experts involved in the evaluation of the respective Project Proposal who have provided individual evaluation of the respective Project Proposal, and shall submit the evaluation in the Information System.</w:t>
      </w:r>
    </w:p>
    <w:p w14:paraId="3200FAAE" w14:textId="77777777" w:rsidR="00D57270" w:rsidRPr="00E4719C" w:rsidRDefault="00D57270" w:rsidP="00E4719C">
      <w:pPr>
        <w:ind w:firstLine="709"/>
        <w:rPr>
          <w:lang w:val="lv-LV"/>
        </w:rPr>
      </w:pPr>
    </w:p>
    <w:p w14:paraId="6A9DBEBF" w14:textId="7A7C6370" w:rsidR="00D57270" w:rsidRPr="00E4719C" w:rsidRDefault="00D57270" w:rsidP="00E4719C">
      <w:pPr>
        <w:ind w:firstLine="709"/>
      </w:pPr>
      <w:r>
        <w:t xml:space="preserve">16 If only one project application is submitted for the implementation of the tasks set out in Paragraph 6 of the Programme’s Cabinet Order, the Council shall not organise a panel on that Project Proposal. The Council shall give each expert access to the Individual Evaluation completed by the other expert </w:t>
      </w:r>
      <w:proofErr w:type="gramStart"/>
      <w:r>
        <w:t>and also</w:t>
      </w:r>
      <w:proofErr w:type="gramEnd"/>
      <w:r>
        <w:t xml:space="preserve"> disclose the identity of the other experts to each expert.</w:t>
      </w:r>
    </w:p>
    <w:p w14:paraId="40ABA7E9" w14:textId="77777777" w:rsidR="00D57270" w:rsidRPr="00E4719C" w:rsidRDefault="00D57270" w:rsidP="00E4719C">
      <w:pPr>
        <w:ind w:firstLine="709"/>
        <w:rPr>
          <w:lang w:val="lv-LV"/>
        </w:rPr>
      </w:pPr>
    </w:p>
    <w:p w14:paraId="14557F85" w14:textId="48732DE7" w:rsidR="00D57270" w:rsidRPr="00E4719C" w:rsidRDefault="00D57270" w:rsidP="00E4719C">
      <w:pPr>
        <w:ind w:firstLine="709"/>
        <w:rPr>
          <w:b/>
        </w:rPr>
      </w:pPr>
      <w:r>
        <w:t xml:space="preserve">17 One of the experts shall complete the Consolidated Evaluation in accordance with Annex 8 to the Regulations “Form for Individual/Consolidated Evaluation of the Project Proposal Expert </w:t>
      </w:r>
      <w:r>
        <w:lastRenderedPageBreak/>
        <w:t>Evaluation” in the Information System, following the conditions under Paragraphs 6 to 13 of the Methodology. All experts (unless the exception referred to in Paragraph 42 of the Regulations applies) shall validate the Consolidated Evaluation in the Information System within two weeks after the validation of the last Individual Evaluation in the Information System.</w:t>
      </w:r>
    </w:p>
    <w:p w14:paraId="2F09DE0B" w14:textId="77777777" w:rsidR="00D57270" w:rsidRPr="00E4719C" w:rsidRDefault="00D57270" w:rsidP="00E4719C">
      <w:pPr>
        <w:rPr>
          <w:lang w:val="lv-LV"/>
        </w:rPr>
      </w:pPr>
    </w:p>
    <w:p w14:paraId="289825D6" w14:textId="23193CB2" w:rsidR="00D57270" w:rsidRPr="00E4719C" w:rsidRDefault="00D57270" w:rsidP="00E4719C">
      <w:pPr>
        <w:ind w:firstLine="709"/>
      </w:pPr>
      <w:r>
        <w:t>18 The Consolidated Evaluation is the agreement between all experts (unless the exception referred to in Paragraph 41 of the Regulations applies) on the Final Evaluation of the Project Proposal, so that the expert preparing the Consolidated Evaluation would consult with other experts on the following matters:</w:t>
      </w:r>
    </w:p>
    <w:p w14:paraId="6FF05469" w14:textId="77777777" w:rsidR="00D57270" w:rsidRPr="00E4719C" w:rsidRDefault="00D57270" w:rsidP="00E4719C">
      <w:pPr>
        <w:ind w:firstLine="709"/>
      </w:pPr>
      <w:r>
        <w:t>18.1 score of each criterion in points;</w:t>
      </w:r>
    </w:p>
    <w:p w14:paraId="71E33FE5" w14:textId="77777777" w:rsidR="00D57270" w:rsidRPr="00E4719C" w:rsidRDefault="00D57270" w:rsidP="00E4719C">
      <w:pPr>
        <w:ind w:firstLine="709"/>
      </w:pPr>
      <w:r>
        <w:t>18.2 scientifically reasoned justification for the scores of each criterion, compiled from the justifications provided by all the experts in their individual evaluations.</w:t>
      </w:r>
    </w:p>
    <w:p w14:paraId="361728DB" w14:textId="77777777" w:rsidR="00D57270" w:rsidRPr="00E4719C" w:rsidRDefault="00D57270" w:rsidP="00E4719C">
      <w:pPr>
        <w:ind w:firstLine="709"/>
        <w:rPr>
          <w:lang w:val="lv-LV"/>
        </w:rPr>
      </w:pPr>
    </w:p>
    <w:p w14:paraId="31872C5B" w14:textId="05B4CC7E" w:rsidR="00D57270" w:rsidRPr="00E4719C" w:rsidRDefault="00D57270" w:rsidP="00E4719C">
      <w:pPr>
        <w:ind w:firstLine="709"/>
      </w:pPr>
      <w:r>
        <w:t>19 The Council shall examine the Consolidated Evaluation referred to in Paragraph 17 of the Methodology once it has been validated in the Information System. If the Council (without interference in the expert competence) establishes any inconsistencies with the Methodology or the Regulations for the Open Call, it has the right to return the Consolidated Evaluation to the experts for revision and validation.</w:t>
      </w:r>
    </w:p>
    <w:p w14:paraId="29BD6DE3" w14:textId="77777777" w:rsidR="00D57270" w:rsidRPr="00E4719C" w:rsidRDefault="00D57270" w:rsidP="00E4719C">
      <w:pPr>
        <w:ind w:firstLine="709"/>
        <w:rPr>
          <w:lang w:val="lv-LV"/>
        </w:rPr>
      </w:pPr>
    </w:p>
    <w:p w14:paraId="632D543C" w14:textId="77777777" w:rsidR="00D57270" w:rsidRPr="00E4719C" w:rsidRDefault="00D57270" w:rsidP="00E4719C">
      <w:pPr>
        <w:ind w:firstLine="709"/>
      </w:pPr>
      <w:r>
        <w:t>20 In the event of a return of the Consolidated Evaluation, the experts must revise and agree on the Consolidated Evaluation within three working days, validating it in the Information System in accordance with Paragraphs 17 and 18 of the Methodology.</w:t>
      </w:r>
    </w:p>
    <w:p w14:paraId="65FB4810" w14:textId="77777777" w:rsidR="00EE5F77" w:rsidRPr="00E4719C" w:rsidRDefault="00EE5F77" w:rsidP="00E4719C">
      <w:pPr>
        <w:rPr>
          <w:lang w:val="lv-LV"/>
        </w:rPr>
      </w:pPr>
    </w:p>
    <w:p w14:paraId="5A96247F" w14:textId="55DFA43A" w:rsidR="00EE5F77" w:rsidRPr="00E4719C" w:rsidRDefault="006E2F6D" w:rsidP="00E4719C">
      <w:pPr>
        <w:pStyle w:val="Heading1"/>
        <w:rPr>
          <w:kern w:val="0"/>
        </w:rPr>
      </w:pPr>
      <w:bookmarkStart w:id="9" w:name="_Toc503263857"/>
      <w:bookmarkStart w:id="10" w:name="_Toc513469513"/>
      <w:bookmarkStart w:id="11" w:name="_Toc143245578"/>
      <w:r>
        <w:t xml:space="preserve">3 </w:t>
      </w:r>
      <w:bookmarkEnd w:id="9"/>
      <w:r>
        <w:t xml:space="preserve">Scientific Expert Evaluation of the Mid-term and Final Scientific </w:t>
      </w:r>
      <w:bookmarkEnd w:id="10"/>
      <w:r>
        <w:t>Reports of the Project</w:t>
      </w:r>
      <w:bookmarkEnd w:id="11"/>
    </w:p>
    <w:p w14:paraId="52D2DC88" w14:textId="77777777" w:rsidR="00534EBC" w:rsidRPr="00E4719C" w:rsidRDefault="00534EBC" w:rsidP="00E4719C">
      <w:pPr>
        <w:rPr>
          <w:lang w:val="lv-LV"/>
        </w:rPr>
      </w:pPr>
    </w:p>
    <w:p w14:paraId="1BD43C4B" w14:textId="4BD5D18F" w:rsidR="00534EBC" w:rsidRPr="00E4719C" w:rsidRDefault="000247C5" w:rsidP="00E4719C">
      <w:pPr>
        <w:ind w:firstLine="360"/>
      </w:pPr>
      <w:r>
        <w:t xml:space="preserve">21 Prior to the evaluation </w:t>
      </w:r>
      <w:sdt>
        <w:sdtPr>
          <w:id w:val="-940218542"/>
          <w:placeholder>
            <w:docPart w:val="DefaultPlaceholder_-1854013440"/>
          </w:placeholder>
        </w:sdtPr>
        <w:sdtContent>
          <w:r>
            <w:t>of the mid-term or</w:t>
          </w:r>
        </w:sdtContent>
      </w:sdt>
      <w:r>
        <w:t xml:space="preserve"> final scientific report in the Information System, the expert shall declare that he or she has no conflict of interest and undertake to respect the confidentiality requirements by signing and sending to the Council the Declaration of the Expert and by concluding the Scientific Evaluation Contract with the Council.</w:t>
      </w:r>
    </w:p>
    <w:p w14:paraId="3819D812" w14:textId="77777777" w:rsidR="00534EBC" w:rsidRPr="00E4719C" w:rsidRDefault="00534EBC" w:rsidP="00E4719C">
      <w:pPr>
        <w:ind w:left="720" w:hanging="360"/>
        <w:rPr>
          <w:lang w:val="lv-LV"/>
        </w:rPr>
      </w:pPr>
    </w:p>
    <w:p w14:paraId="528307AD" w14:textId="39124C7F" w:rsidR="00534EBC" w:rsidRPr="00E4719C" w:rsidRDefault="00D07C24" w:rsidP="00E4719C">
      <w:pPr>
        <w:ind w:firstLine="360"/>
      </w:pPr>
      <w:r>
        <w:t xml:space="preserve">22 The Council shall, upon receipt of the Declaration of the Expert, give the expert access </w:t>
      </w:r>
      <w:sdt>
        <w:sdtPr>
          <w:id w:val="-379702491"/>
          <w:placeholder>
            <w:docPart w:val="DefaultPlaceholder_-1854013440"/>
          </w:placeholder>
        </w:sdtPr>
        <w:sdtContent>
          <w:r>
            <w:t>to the mid-term or</w:t>
          </w:r>
        </w:sdtContent>
      </w:sdt>
      <w:r>
        <w:t xml:space="preserve"> final scientific report of the project and to all the information necessary for the evaluation thereof.</w:t>
      </w:r>
    </w:p>
    <w:p w14:paraId="07CA4939" w14:textId="77777777" w:rsidR="00534EBC" w:rsidRPr="00E4719C" w:rsidRDefault="00534EBC" w:rsidP="00E4719C">
      <w:pPr>
        <w:ind w:left="720" w:hanging="360"/>
        <w:rPr>
          <w:lang w:val="lv-LV"/>
        </w:rPr>
      </w:pPr>
    </w:p>
    <w:p w14:paraId="5EA94150" w14:textId="33FEE01E" w:rsidR="00111C85" w:rsidRPr="00E4719C" w:rsidRDefault="00D07C24" w:rsidP="00E4719C">
      <w:pPr>
        <w:ind w:firstLine="360"/>
      </w:pPr>
      <w:r>
        <w:t xml:space="preserve">23 The Council shall provide each expert with access to </w:t>
      </w:r>
      <w:sdt>
        <w:sdtPr>
          <w:id w:val="1068539031"/>
          <w:placeholder>
            <w:docPart w:val="DefaultPlaceholder_-1854013440"/>
          </w:placeholder>
        </w:sdtPr>
        <w:sdtContent>
          <w:r>
            <w:t>the mid-term or</w:t>
          </w:r>
        </w:sdtContent>
      </w:sdt>
      <w:r>
        <w:t xml:space="preserve"> final scientific report and to the application for the same project. </w:t>
      </w:r>
      <w:sdt>
        <w:sdtPr>
          <w:id w:val="-524027250"/>
          <w:placeholder>
            <w:docPart w:val="DefaultPlaceholder_-1854013440"/>
          </w:placeholder>
        </w:sdtPr>
        <w:sdtContent>
          <w:r>
            <w:t>If a final report of the project is being evaluated, the Council shall additionally provide the expert with access to the mid-term report of the same project.</w:t>
          </w:r>
        </w:sdtContent>
      </w:sdt>
    </w:p>
    <w:p w14:paraId="6B10A89F" w14:textId="77777777" w:rsidR="00111C85" w:rsidRPr="00E4719C" w:rsidRDefault="00111C85" w:rsidP="00E4719C">
      <w:pPr>
        <w:ind w:left="720" w:hanging="360"/>
        <w:rPr>
          <w:lang w:val="lv-LV"/>
        </w:rPr>
      </w:pPr>
    </w:p>
    <w:p w14:paraId="7667CD38" w14:textId="1F0D1E7A" w:rsidR="00534EBC" w:rsidRPr="00E4719C" w:rsidRDefault="00D07C24" w:rsidP="00E4719C">
      <w:pPr>
        <w:ind w:firstLine="360"/>
      </w:pPr>
      <w:r>
        <w:t xml:space="preserve">24 The expert shall evaluate </w:t>
      </w:r>
      <w:sdt>
        <w:sdtPr>
          <w:id w:val="322623064"/>
          <w:placeholder>
            <w:docPart w:val="DefaultPlaceholder_-1854013440"/>
          </w:placeholder>
        </w:sdtPr>
        <w:sdtContent>
          <w:r>
            <w:t>the mid-term or</w:t>
          </w:r>
        </w:sdtContent>
      </w:sdt>
      <w:r>
        <w:t xml:space="preserve"> final scientific report of the project by applying his or her competence and professional experience in scientific evaluation of projects in the relevant field of science and by providing scientific justification for his or her opinion.</w:t>
      </w:r>
    </w:p>
    <w:p w14:paraId="62A09F61" w14:textId="2F594F38" w:rsidR="00534EBC" w:rsidRPr="00E4719C" w:rsidRDefault="00534EBC" w:rsidP="00E4719C">
      <w:pPr>
        <w:rPr>
          <w:lang w:val="lv-LV"/>
        </w:rPr>
      </w:pPr>
    </w:p>
    <w:p w14:paraId="7BAAA95E" w14:textId="74DAE427" w:rsidR="00EE5F77" w:rsidRPr="00E4719C" w:rsidRDefault="006E2F6D" w:rsidP="00E4719C">
      <w:pPr>
        <w:pStyle w:val="Heading2"/>
      </w:pPr>
      <w:bookmarkStart w:id="12" w:name="_Toc513469514"/>
      <w:bookmarkStart w:id="13" w:name="_Toc143245579"/>
      <w:r>
        <w:t>3.1 Individual Evaluation of the Mid-term and Final Scientific Reports of the Project</w:t>
      </w:r>
      <w:bookmarkEnd w:id="12"/>
      <w:bookmarkEnd w:id="13"/>
    </w:p>
    <w:p w14:paraId="303A1818" w14:textId="77777777" w:rsidR="0094247B" w:rsidRPr="00E4719C" w:rsidRDefault="0094247B" w:rsidP="00E4719C">
      <w:pPr>
        <w:rPr>
          <w:lang w:val="lv-LV"/>
        </w:rPr>
      </w:pPr>
    </w:p>
    <w:p w14:paraId="5D308324" w14:textId="1015D510" w:rsidR="00EE5F77" w:rsidRPr="00E4719C" w:rsidRDefault="004A1311" w:rsidP="00E4719C">
      <w:pPr>
        <w:ind w:firstLine="567"/>
      </w:pPr>
      <w:r>
        <w:t xml:space="preserve">25 Within two weeks following the date of concluding the Service Contract for Scientific Evaluation with the Council, the expert shall carry out an individual evaluation of </w:t>
      </w:r>
      <w:sdt>
        <w:sdtPr>
          <w:id w:val="959153321"/>
          <w:placeholder>
            <w:docPart w:val="DefaultPlaceholder_-1854013440"/>
          </w:placeholder>
        </w:sdtPr>
        <w:sdtContent>
          <w:r>
            <w:t>the mid-term or</w:t>
          </w:r>
        </w:sdtContent>
      </w:sdt>
      <w:r>
        <w:t xml:space="preserve"> the final scientific report by completing Annex 10 to the Regulations “Individual/Consolidated Evaluation of the </w:t>
      </w:r>
      <w:sdt>
        <w:sdtPr>
          <w:id w:val="-4065078"/>
          <w:placeholder>
            <w:docPart w:val="DefaultPlaceholder_-1854013440"/>
          </w:placeholder>
        </w:sdtPr>
        <w:sdtContent>
          <w:r>
            <w:t>Mid-term/</w:t>
          </w:r>
        </w:sdtContent>
      </w:sdt>
      <w:r>
        <w:t>/Final Scientific Report” in the Information System and validation thereof in the Information System.</w:t>
      </w:r>
    </w:p>
    <w:p w14:paraId="6E2C44DB" w14:textId="77777777" w:rsidR="00377EC2" w:rsidRPr="00E4719C" w:rsidRDefault="00377EC2" w:rsidP="00E4719C">
      <w:pPr>
        <w:rPr>
          <w:lang w:val="lv-LV"/>
        </w:rPr>
      </w:pPr>
    </w:p>
    <w:p w14:paraId="6A417F9A" w14:textId="3FBCFE58" w:rsidR="00377EC2" w:rsidRPr="00E4719C" w:rsidRDefault="004A1311" w:rsidP="00E4719C">
      <w:pPr>
        <w:ind w:firstLine="360"/>
      </w:pPr>
      <w:r>
        <w:lastRenderedPageBreak/>
        <w:t>26 The expert shall award one of two scores to the mid-term scientific report:</w:t>
      </w:r>
    </w:p>
    <w:p w14:paraId="6DC9234A" w14:textId="627C70ED" w:rsidR="00377EC2" w:rsidRPr="00E4719C" w:rsidRDefault="004A1311" w:rsidP="00E4719C">
      <w:pPr>
        <w:ind w:left="720" w:hanging="360"/>
      </w:pPr>
      <w:r>
        <w:t>26.1 proceed with the project;</w:t>
      </w:r>
    </w:p>
    <w:p w14:paraId="585BC0BF" w14:textId="6E6CE568" w:rsidR="00377EC2" w:rsidRPr="00E4719C" w:rsidRDefault="004A1311" w:rsidP="00E4719C">
      <w:pPr>
        <w:ind w:left="720" w:hanging="360"/>
      </w:pPr>
      <w:r>
        <w:t>26.2 do not to proceed with the project.</w:t>
      </w:r>
    </w:p>
    <w:p w14:paraId="52FE4AC2" w14:textId="77777777" w:rsidR="00377EC2" w:rsidRPr="00E4719C" w:rsidRDefault="00377EC2" w:rsidP="00E4719C">
      <w:pPr>
        <w:ind w:left="720" w:hanging="360"/>
        <w:rPr>
          <w:lang w:val="lv-LV"/>
        </w:rPr>
      </w:pPr>
    </w:p>
    <w:p w14:paraId="0086D97C" w14:textId="228EEDF9" w:rsidR="00377EC2" w:rsidRPr="00E4719C" w:rsidRDefault="00D73F42" w:rsidP="00E4719C">
      <w:pPr>
        <w:ind w:left="720" w:hanging="360"/>
      </w:pPr>
      <w:r>
        <w:t>27 The expert shall award one of two scores to the final scientific report:</w:t>
      </w:r>
    </w:p>
    <w:p w14:paraId="505217D4" w14:textId="668E057F" w:rsidR="00377EC2" w:rsidRPr="00E4719C" w:rsidRDefault="00694E2F" w:rsidP="00E4719C">
      <w:pPr>
        <w:ind w:left="720" w:hanging="360"/>
      </w:pPr>
      <w:r>
        <w:t>27.1 project objective has been achieved;</w:t>
      </w:r>
    </w:p>
    <w:p w14:paraId="7868F92E" w14:textId="50C0D48B" w:rsidR="00377EC2" w:rsidRPr="00E4719C" w:rsidRDefault="00694E2F" w:rsidP="00E4719C">
      <w:pPr>
        <w:ind w:left="720" w:hanging="360"/>
      </w:pPr>
      <w:r>
        <w:t>27.2 project objective has not been achieved.</w:t>
      </w:r>
    </w:p>
    <w:p w14:paraId="2923EFFE" w14:textId="77777777" w:rsidR="00EE5F77" w:rsidRPr="00E4719C" w:rsidRDefault="00EE5F77" w:rsidP="00E4719C">
      <w:pPr>
        <w:rPr>
          <w:lang w:val="lv-LV"/>
        </w:rPr>
      </w:pPr>
    </w:p>
    <w:tbl>
      <w:tblPr>
        <w:tblStyle w:val="TableGrid"/>
        <w:tblW w:w="9923" w:type="dxa"/>
        <w:tblInd w:w="-5" w:type="dxa"/>
        <w:tblLook w:val="04A0" w:firstRow="1" w:lastRow="0" w:firstColumn="1" w:lastColumn="0" w:noHBand="0" w:noVBand="1"/>
      </w:tblPr>
      <w:tblGrid>
        <w:gridCol w:w="709"/>
        <w:gridCol w:w="3402"/>
        <w:gridCol w:w="5812"/>
      </w:tblGrid>
      <w:tr w:rsidR="004D61A7" w:rsidRPr="00E4719C" w14:paraId="736E07C0" w14:textId="77777777" w:rsidTr="00DF6D8F">
        <w:tc>
          <w:tcPr>
            <w:tcW w:w="9923" w:type="dxa"/>
            <w:gridSpan w:val="3"/>
          </w:tcPr>
          <w:p w14:paraId="30F2F356" w14:textId="353CF6C0" w:rsidR="00EE5F77" w:rsidRPr="00E4719C" w:rsidRDefault="00056A15" w:rsidP="00E4719C">
            <w:pPr>
              <w:jc w:val="center"/>
              <w:rPr>
                <w:b/>
              </w:rPr>
            </w:pPr>
            <w:r>
              <w:rPr>
                <w:b/>
                <w:bCs/>
              </w:rPr>
              <w:t xml:space="preserve">Individual/Consolidated Evaluation of the </w:t>
            </w:r>
            <w:sdt>
              <w:sdtPr>
                <w:rPr>
                  <w:b/>
                </w:rPr>
                <w:id w:val="1617871538"/>
                <w:placeholder>
                  <w:docPart w:val="DefaultPlaceholder_-1854013440"/>
                </w:placeholder>
              </w:sdtPr>
              <w:sdtContent>
                <w:r>
                  <w:rPr>
                    <w:b/>
                    <w:bCs/>
                  </w:rPr>
                  <w:t>Mid-term/</w:t>
                </w:r>
              </w:sdtContent>
            </w:sdt>
            <w:r>
              <w:rPr>
                <w:b/>
                <w:bCs/>
              </w:rPr>
              <w:t>Final Scientific Reports of the Project</w:t>
            </w:r>
          </w:p>
        </w:tc>
      </w:tr>
      <w:tr w:rsidR="004D61A7" w:rsidRPr="00E4719C" w14:paraId="0570F1D2" w14:textId="77777777" w:rsidTr="00DF6D8F">
        <w:tc>
          <w:tcPr>
            <w:tcW w:w="9923" w:type="dxa"/>
            <w:gridSpan w:val="3"/>
          </w:tcPr>
          <w:p w14:paraId="5F2C44F6" w14:textId="77777777" w:rsidR="00EE5F77" w:rsidRPr="00E4719C" w:rsidRDefault="00EE5F77" w:rsidP="00E4719C">
            <w:r>
              <w:t>Project title:</w:t>
            </w:r>
          </w:p>
          <w:p w14:paraId="405E8714" w14:textId="77777777" w:rsidR="00EE5F77" w:rsidRPr="00E4719C" w:rsidRDefault="00EE5F77" w:rsidP="00E4719C">
            <w:r>
              <w:t>Expert(s):</w:t>
            </w:r>
          </w:p>
        </w:tc>
      </w:tr>
      <w:tr w:rsidR="004D61A7" w:rsidRPr="00E4719C" w14:paraId="45651D3C" w14:textId="77777777" w:rsidTr="00DF6D8F">
        <w:tc>
          <w:tcPr>
            <w:tcW w:w="709" w:type="dxa"/>
            <w:vMerge w:val="restart"/>
          </w:tcPr>
          <w:p w14:paraId="58F9B9D0" w14:textId="77777777" w:rsidR="00EE5F77" w:rsidRPr="00E4719C" w:rsidRDefault="00EE5F77" w:rsidP="00E4719C">
            <w:pPr>
              <w:rPr>
                <w:b/>
              </w:rPr>
            </w:pPr>
            <w:r>
              <w:rPr>
                <w:b/>
              </w:rPr>
              <w:t>1</w:t>
            </w:r>
          </w:p>
        </w:tc>
        <w:tc>
          <w:tcPr>
            <w:tcW w:w="9214" w:type="dxa"/>
            <w:gridSpan w:val="2"/>
          </w:tcPr>
          <w:p w14:paraId="7F5A4710" w14:textId="79A2CBC0" w:rsidR="00EE5F77" w:rsidRPr="00E4719C" w:rsidRDefault="00056A15" w:rsidP="00E4719C">
            <w:pPr>
              <w:jc w:val="center"/>
              <w:rPr>
                <w:b/>
              </w:rPr>
            </w:pPr>
            <w:r>
              <w:rPr>
                <w:b/>
              </w:rPr>
              <w:t>Criterion: Scientific Quality of the Project</w:t>
            </w:r>
          </w:p>
        </w:tc>
      </w:tr>
      <w:tr w:rsidR="004D61A7" w:rsidRPr="00E4719C" w14:paraId="2E9825D4" w14:textId="77777777" w:rsidTr="00DF6D8F">
        <w:trPr>
          <w:trHeight w:val="1003"/>
        </w:trPr>
        <w:tc>
          <w:tcPr>
            <w:tcW w:w="709" w:type="dxa"/>
            <w:vMerge/>
          </w:tcPr>
          <w:p w14:paraId="531F5A57" w14:textId="77777777" w:rsidR="00EE5F77" w:rsidRPr="00E4719C" w:rsidRDefault="00EE5F77" w:rsidP="00E4719C">
            <w:pPr>
              <w:rPr>
                <w:b/>
                <w:lang w:val="lv-LV"/>
              </w:rPr>
            </w:pPr>
          </w:p>
        </w:tc>
        <w:tc>
          <w:tcPr>
            <w:tcW w:w="9214" w:type="dxa"/>
            <w:gridSpan w:val="2"/>
          </w:tcPr>
          <w:p w14:paraId="20AC5E79" w14:textId="1299F7F4" w:rsidR="001836D4" w:rsidRPr="00E4719C" w:rsidRDefault="001836D4" w:rsidP="00E4719C">
            <w:pPr>
              <w:rPr>
                <w:i/>
              </w:rPr>
            </w:pPr>
            <w:r>
              <w:rPr>
                <w:i/>
                <w:iCs/>
              </w:rPr>
              <w:t xml:space="preserve">The expert shall evaluate how the scientific group of the project has achieved the objectives of the Project Proposal up to the moment of delivery of the </w:t>
            </w:r>
            <w:sdt>
              <w:sdtPr>
                <w:rPr>
                  <w:i/>
                </w:rPr>
                <w:id w:val="620894921"/>
                <w:placeholder>
                  <w:docPart w:val="DefaultPlaceholder_-1854013440"/>
                </w:placeholder>
              </w:sdtPr>
              <w:sdtContent>
                <w:r>
                  <w:rPr>
                    <w:i/>
                    <w:iCs/>
                  </w:rPr>
                  <w:t>mid-term/</w:t>
                </w:r>
              </w:sdtContent>
            </w:sdt>
            <w:r>
              <w:rPr>
                <w:i/>
                <w:iCs/>
              </w:rPr>
              <w:t>final report.</w:t>
            </w:r>
            <w:r>
              <w:rPr>
                <w:i/>
              </w:rPr>
              <w:t xml:space="preserve"> </w:t>
            </w:r>
            <w:r>
              <w:rPr>
                <w:i/>
                <w:iCs/>
              </w:rPr>
              <w:t xml:space="preserve">Basically, Chapter 1 “Scientific Excellence” of the </w:t>
            </w:r>
            <w:sdt>
              <w:sdtPr>
                <w:rPr>
                  <w:i/>
                </w:rPr>
                <w:id w:val="1119333632"/>
                <w:placeholder>
                  <w:docPart w:val="DefaultPlaceholder_-1854013440"/>
                </w:placeholder>
              </w:sdtPr>
              <w:sdtContent>
                <w:r>
                  <w:rPr>
                    <w:i/>
                    <w:iCs/>
                  </w:rPr>
                  <w:t>mid-term/</w:t>
                </w:r>
              </w:sdtContent>
            </w:sdt>
            <w:r>
              <w:rPr>
                <w:i/>
                <w:iCs/>
              </w:rPr>
              <w:t xml:space="preserve">final scientific report shall be </w:t>
            </w:r>
            <w:proofErr w:type="gramStart"/>
            <w:r>
              <w:rPr>
                <w:i/>
                <w:iCs/>
              </w:rPr>
              <w:t>taken into account</w:t>
            </w:r>
            <w:proofErr w:type="gramEnd"/>
            <w:r>
              <w:rPr>
                <w:i/>
                <w:iCs/>
              </w:rPr>
              <w:t xml:space="preserve">, while linking it to the </w:t>
            </w:r>
            <w:sdt>
              <w:sdtPr>
                <w:rPr>
                  <w:i/>
                </w:rPr>
                <w:id w:val="-115689405"/>
                <w:placeholder>
                  <w:docPart w:val="DefaultPlaceholder_-1854013440"/>
                </w:placeholder>
              </w:sdtPr>
              <w:sdtContent>
                <w:r>
                  <w:rPr>
                    <w:i/>
                    <w:iCs/>
                  </w:rPr>
                  <w:t>mid-term/</w:t>
                </w:r>
              </w:sdtContent>
            </w:sdt>
            <w:r>
              <w:rPr>
                <w:i/>
                <w:iCs/>
              </w:rPr>
              <w:t>final scientific report as a whole and to the Project Proposal.</w:t>
            </w:r>
            <w:r>
              <w:rPr>
                <w:i/>
              </w:rPr>
              <w:t xml:space="preserve"> Here, the expert shall provide comments and suggestions to fully achieve the objective of the project and perform the tasks to the highest scientific quality, or on research opportunities after the end of the project </w:t>
            </w:r>
            <w:proofErr w:type="gramStart"/>
            <w:r>
              <w:rPr>
                <w:i/>
              </w:rPr>
              <w:t>in order to</w:t>
            </w:r>
            <w:proofErr w:type="gramEnd"/>
            <w:r>
              <w:rPr>
                <w:i/>
              </w:rPr>
              <w:t xml:space="preserve"> achieve scientific excellence. The relevant Programme-specific tasks and planned results shall be </w:t>
            </w:r>
            <w:proofErr w:type="gramStart"/>
            <w:r>
              <w:rPr>
                <w:i/>
              </w:rPr>
              <w:t>taken into account</w:t>
            </w:r>
            <w:proofErr w:type="gramEnd"/>
            <w:r>
              <w:rPr>
                <w:i/>
              </w:rPr>
              <w:t xml:space="preserve"> when providing comments and it shall be also evaluated whether the project is progressing towards the achievement of the overarching objective and objectives of the Programme.</w:t>
            </w:r>
          </w:p>
          <w:p w14:paraId="5D52050A" w14:textId="0E29FA11" w:rsidR="00EE5F77" w:rsidRPr="00E4719C" w:rsidRDefault="001836D4" w:rsidP="00E4719C">
            <w:r>
              <w:rPr>
                <w:i/>
              </w:rPr>
              <w:t xml:space="preserve">The expert shall evaluate whether the results achieved by the scientific group of the project in the relevant </w:t>
            </w:r>
            <w:proofErr w:type="gramStart"/>
            <w:r>
              <w:rPr>
                <w:i/>
              </w:rPr>
              <w:t>time period</w:t>
            </w:r>
            <w:proofErr w:type="gramEnd"/>
            <w:r>
              <w:rPr>
                <w:i/>
              </w:rPr>
              <w:t xml:space="preserve"> reflect the high research capacity thereof and whether the results described are sufficient for supplementing the knowledge base of the field(s) of science.</w:t>
            </w:r>
          </w:p>
        </w:tc>
      </w:tr>
      <w:tr w:rsidR="004D61A7" w:rsidRPr="00E4719C" w14:paraId="01942B65" w14:textId="77777777" w:rsidTr="00DF6D8F">
        <w:tc>
          <w:tcPr>
            <w:tcW w:w="709" w:type="dxa"/>
            <w:vMerge w:val="restart"/>
          </w:tcPr>
          <w:p w14:paraId="1DEFFDA6" w14:textId="77777777" w:rsidR="00EE5F77" w:rsidRPr="00E4719C" w:rsidRDefault="00EE5F77" w:rsidP="00E4719C">
            <w:pPr>
              <w:rPr>
                <w:b/>
              </w:rPr>
            </w:pPr>
            <w:r>
              <w:rPr>
                <w:b/>
              </w:rPr>
              <w:t>2</w:t>
            </w:r>
          </w:p>
        </w:tc>
        <w:tc>
          <w:tcPr>
            <w:tcW w:w="9214" w:type="dxa"/>
            <w:gridSpan w:val="2"/>
          </w:tcPr>
          <w:p w14:paraId="1AE295A9" w14:textId="70A5CDDD" w:rsidR="00EE5F77" w:rsidRPr="00E4719C" w:rsidRDefault="005314DB" w:rsidP="00E4719C">
            <w:pPr>
              <w:jc w:val="center"/>
              <w:rPr>
                <w:b/>
              </w:rPr>
            </w:pPr>
            <w:r>
              <w:rPr>
                <w:b/>
              </w:rPr>
              <w:t>Criterion: Impact of Project Results</w:t>
            </w:r>
          </w:p>
        </w:tc>
      </w:tr>
      <w:tr w:rsidR="004D61A7" w:rsidRPr="00E4719C" w14:paraId="12F45B4A" w14:textId="77777777" w:rsidTr="00DF6D8F">
        <w:trPr>
          <w:trHeight w:val="557"/>
        </w:trPr>
        <w:tc>
          <w:tcPr>
            <w:tcW w:w="709" w:type="dxa"/>
            <w:vMerge/>
          </w:tcPr>
          <w:p w14:paraId="2C51819B" w14:textId="77777777" w:rsidR="00EE5F77" w:rsidRPr="00E4719C" w:rsidRDefault="00EE5F77" w:rsidP="00E4719C">
            <w:pPr>
              <w:rPr>
                <w:b/>
                <w:lang w:val="lv-LV"/>
              </w:rPr>
            </w:pPr>
          </w:p>
        </w:tc>
        <w:tc>
          <w:tcPr>
            <w:tcW w:w="9214" w:type="dxa"/>
            <w:gridSpan w:val="2"/>
          </w:tcPr>
          <w:p w14:paraId="44118011" w14:textId="37EDE940" w:rsidR="00EE5F77" w:rsidRPr="00E4719C" w:rsidRDefault="001836D4" w:rsidP="00E4719C">
            <w:pPr>
              <w:rPr>
                <w:i/>
              </w:rPr>
            </w:pPr>
            <w:r>
              <w:rPr>
                <w:i/>
                <w:iCs/>
              </w:rPr>
              <w:t xml:space="preserve">The expert shall evaluate how the scientific group of the project has achieved the objectives of the Project Proposal up to the moment of delivery of the </w:t>
            </w:r>
            <w:sdt>
              <w:sdtPr>
                <w:rPr>
                  <w:i/>
                </w:rPr>
                <w:id w:val="-2027316429"/>
                <w:placeholder>
                  <w:docPart w:val="DefaultPlaceholder_-1854013440"/>
                </w:placeholder>
              </w:sdtPr>
              <w:sdtContent>
                <w:r>
                  <w:rPr>
                    <w:i/>
                    <w:iCs/>
                  </w:rPr>
                  <w:t>mid-term/</w:t>
                </w:r>
              </w:sdtContent>
            </w:sdt>
            <w:r>
              <w:rPr>
                <w:i/>
                <w:iCs/>
              </w:rPr>
              <w:t>final report.</w:t>
            </w:r>
            <w:r>
              <w:rPr>
                <w:i/>
              </w:rPr>
              <w:t xml:space="preserve"> </w:t>
            </w:r>
            <w:r>
              <w:rPr>
                <w:i/>
                <w:iCs/>
              </w:rPr>
              <w:t xml:space="preserve">Basically, Chapter 2 “Impact” of the </w:t>
            </w:r>
            <w:sdt>
              <w:sdtPr>
                <w:rPr>
                  <w:i/>
                </w:rPr>
                <w:id w:val="-1826971244"/>
                <w:placeholder>
                  <w:docPart w:val="DefaultPlaceholder_-1854013440"/>
                </w:placeholder>
              </w:sdtPr>
              <w:sdtContent>
                <w:r>
                  <w:rPr>
                    <w:i/>
                    <w:iCs/>
                  </w:rPr>
                  <w:t>mid-term/</w:t>
                </w:r>
              </w:sdtContent>
            </w:sdt>
            <w:r>
              <w:rPr>
                <w:i/>
                <w:iCs/>
              </w:rPr>
              <w:t xml:space="preserve">final scientific report shall be </w:t>
            </w:r>
            <w:proofErr w:type="gramStart"/>
            <w:r>
              <w:rPr>
                <w:i/>
                <w:iCs/>
              </w:rPr>
              <w:t>taken into account</w:t>
            </w:r>
            <w:proofErr w:type="gramEnd"/>
            <w:r>
              <w:rPr>
                <w:i/>
                <w:iCs/>
              </w:rPr>
              <w:t xml:space="preserve">, while linking it to the </w:t>
            </w:r>
            <w:sdt>
              <w:sdtPr>
                <w:rPr>
                  <w:i/>
                </w:rPr>
                <w:id w:val="-1336301917"/>
                <w:placeholder>
                  <w:docPart w:val="DefaultPlaceholder_-1854013440"/>
                </w:placeholder>
              </w:sdtPr>
              <w:sdtContent>
                <w:r>
                  <w:rPr>
                    <w:i/>
                    <w:iCs/>
                  </w:rPr>
                  <w:t>mid-term/</w:t>
                </w:r>
              </w:sdtContent>
            </w:sdt>
            <w:r>
              <w:rPr>
                <w:i/>
                <w:iCs/>
              </w:rPr>
              <w:t>final scientific report as a whole and to the Project Proposal.</w:t>
            </w:r>
            <w:r>
              <w:rPr>
                <w:i/>
              </w:rPr>
              <w:t xml:space="preserve"> In this section, the expert shall provide comments and suggestions to fully achieve the intended impact and ensure the dissemination of the knowledge gained to the scientific community and communication to the public at large, or for post-project activities.</w:t>
            </w:r>
          </w:p>
          <w:p w14:paraId="1E101685" w14:textId="39329192" w:rsidR="007E1A50" w:rsidRPr="00E4719C" w:rsidRDefault="007E1A50" w:rsidP="00E4719C">
            <w:pPr>
              <w:rPr>
                <w:i/>
                <w:iCs/>
              </w:rPr>
            </w:pPr>
            <w:r>
              <w:rPr>
                <w:i/>
              </w:rPr>
              <w:t xml:space="preserve">The expert shall evaluate whether the fields of language and/or literature, and/or demographics, and/or Latvian identity, and/or culture and or the scientific community had become more internationally competitive </w:t>
            </w:r>
            <w:proofErr w:type="gramStart"/>
            <w:r>
              <w:rPr>
                <w:i/>
              </w:rPr>
              <w:t>as a result of</w:t>
            </w:r>
            <w:proofErr w:type="gramEnd"/>
            <w:r>
              <w:rPr>
                <w:i/>
              </w:rPr>
              <w:t xml:space="preserve"> the project, and if its capacity has increased.</w:t>
            </w:r>
          </w:p>
          <w:p w14:paraId="7FFD1684" w14:textId="6EE4E519" w:rsidR="008337F0" w:rsidRPr="00E4719C" w:rsidRDefault="002C059E" w:rsidP="00E4719C">
            <w:r>
              <w:rPr>
                <w:i/>
              </w:rPr>
              <w:t>The expert shall evaluate how the project implementer has selected the target groups of the project, whether their opinions have been sought in a quality way and whether the activities have been effective for informing of the public. The expert shall also evaluate cooperation with public institutions, NGOs, and entrepreneurs (e.g., provision of recommendations, participation in policy planning, etc.).</w:t>
            </w:r>
            <w:r>
              <w:t xml:space="preserve"> </w:t>
            </w:r>
          </w:p>
          <w:p w14:paraId="36C1B2C4" w14:textId="7E04A733" w:rsidR="007E1A50" w:rsidRPr="00E4719C" w:rsidRDefault="007E1A50" w:rsidP="00E4719C">
            <w:pPr>
              <w:rPr>
                <w:i/>
                <w:iCs/>
              </w:rPr>
            </w:pPr>
            <w:r>
              <w:rPr>
                <w:i/>
              </w:rPr>
              <w:t>The expert shall provide evaluation and comments on the implementation of the plan to make the project results and scientific knowledge available both in Latvia and internationally (including by publishing results in open access journals and depositing newly generated research data in research data repositories according to the principles of “as open as possible” and FAIR, i.e. findable, accessible, interoperable, reusable.</w:t>
            </w:r>
          </w:p>
          <w:p w14:paraId="36AB8D4A" w14:textId="77777777" w:rsidR="007E1A50" w:rsidRPr="00E4719C" w:rsidRDefault="007E1A50" w:rsidP="00E4719C">
            <w:pPr>
              <w:rPr>
                <w:i/>
                <w:iCs/>
              </w:rPr>
            </w:pPr>
            <w:r>
              <w:rPr>
                <w:i/>
              </w:rPr>
              <w:t xml:space="preserve">The expert shall also evaluate the capacity building activities of the project implementer for students and the scientific group </w:t>
            </w:r>
            <w:proofErr w:type="gramStart"/>
            <w:r>
              <w:rPr>
                <w:i/>
              </w:rPr>
              <w:t>and also</w:t>
            </w:r>
            <w:proofErr w:type="gramEnd"/>
            <w:r>
              <w:rPr>
                <w:i/>
              </w:rPr>
              <w:t xml:space="preserve"> the progress of the student involvement plan.</w:t>
            </w:r>
          </w:p>
          <w:p w14:paraId="02234898" w14:textId="1F4F34F6" w:rsidR="002E37A2" w:rsidRPr="00E4719C" w:rsidRDefault="007664C1" w:rsidP="00E4719C">
            <w:pPr>
              <w:rPr>
                <w:i/>
                <w:highlight w:val="yellow"/>
              </w:rPr>
            </w:pPr>
            <w:r>
              <w:rPr>
                <w:i/>
              </w:rPr>
              <w:t>The expert shall assess the progress made in the implementation of the specific programme objective set out in Paragraph 6 of the Cabinet Order, which the applicant has chosen to implement:</w:t>
            </w:r>
          </w:p>
          <w:p w14:paraId="316F64B3" w14:textId="35804C1E" w:rsidR="00702ACC" w:rsidRPr="00E4719C" w:rsidRDefault="00702ACC" w:rsidP="00E4719C">
            <w:pPr>
              <w:ind w:firstLine="720"/>
              <w:rPr>
                <w:i/>
                <w:iCs/>
              </w:rPr>
            </w:pPr>
            <w:r>
              <w:rPr>
                <w:i/>
              </w:rPr>
              <w:lastRenderedPageBreak/>
              <w:t xml:space="preserve">1 study of the development and use of the modern Latvian language. </w:t>
            </w:r>
            <w:r>
              <w:rPr>
                <w:i/>
                <w:iCs/>
              </w:rPr>
              <w:t xml:space="preserve">The objective includes the following research fields: a) trends and sociolinguistic aspects of Latvian language development, including literary language varieties (plain language, easy language) and Latvian language development in the diaspora; b) terminology and </w:t>
            </w:r>
            <w:proofErr w:type="spellStart"/>
            <w:r>
              <w:rPr>
                <w:i/>
                <w:iCs/>
              </w:rPr>
              <w:t>terminography</w:t>
            </w:r>
            <w:proofErr w:type="spellEnd"/>
            <w:r>
              <w:rPr>
                <w:i/>
                <w:iCs/>
              </w:rPr>
              <w:t xml:space="preserve"> of the Latvian language; c) translation science; d) the written language of Latgale region; e) the cultural and historical development of the diversity of the Latvian language and onomastics, including in the context of historical Latvian lands; f) learning Latvian as a foreign language;</w:t>
            </w:r>
          </w:p>
          <w:p w14:paraId="1976E991" w14:textId="71860685" w:rsidR="00702ACC" w:rsidRPr="00E4719C" w:rsidRDefault="00702ACC" w:rsidP="00E4719C">
            <w:pPr>
              <w:ind w:firstLine="720"/>
              <w:rPr>
                <w:i/>
                <w:iCs/>
              </w:rPr>
            </w:pPr>
            <w:r>
              <w:rPr>
                <w:i/>
              </w:rPr>
              <w:t>2 research and development of Latvian language technologies. This task includes the following research areas: a) research and development of generative artificial intelligence tools for use in Latvian, b) development of digital resources for Latvian language, ensuring their integration into European language resource repositories, c) Latvian language technology solutions, including solutions for people with special needs, d) Latvian sign language for the deaf;</w:t>
            </w:r>
          </w:p>
          <w:p w14:paraId="01EB1E8B" w14:textId="66B9B24E" w:rsidR="00702ACC" w:rsidRPr="00E4719C" w:rsidRDefault="00702ACC" w:rsidP="00E4719C">
            <w:pPr>
              <w:ind w:firstLine="720"/>
              <w:rPr>
                <w:i/>
                <w:iCs/>
              </w:rPr>
            </w:pPr>
            <w:r>
              <w:rPr>
                <w:i/>
              </w:rPr>
              <w:t>3 </w:t>
            </w:r>
            <w:proofErr w:type="gramStart"/>
            <w:r>
              <w:rPr>
                <w:i/>
              </w:rPr>
              <w:t>development</w:t>
            </w:r>
            <w:proofErr w:type="gramEnd"/>
            <w:r>
              <w:rPr>
                <w:i/>
              </w:rPr>
              <w:t xml:space="preserve"> of the research base and digital resources of the Liv language, promoting the vitality of the Liv language, the development and standardisation of language norms, and ensuring the integration of digital resources of the language into European language resource repositories;</w:t>
            </w:r>
          </w:p>
          <w:p w14:paraId="33FF7D2F" w14:textId="177F7B6E" w:rsidR="00702ACC" w:rsidRPr="00E4719C" w:rsidRDefault="00702ACC" w:rsidP="00E4719C">
            <w:pPr>
              <w:ind w:firstLine="720"/>
              <w:rPr>
                <w:i/>
                <w:iCs/>
              </w:rPr>
            </w:pPr>
            <w:r>
              <w:rPr>
                <w:i/>
              </w:rPr>
              <w:t xml:space="preserve">4 study of demography, </w:t>
            </w:r>
            <w:proofErr w:type="gramStart"/>
            <w:r>
              <w:rPr>
                <w:i/>
              </w:rPr>
              <w:t>migration</w:t>
            </w:r>
            <w:proofErr w:type="gramEnd"/>
            <w:r>
              <w:rPr>
                <w:i/>
              </w:rPr>
              <w:t xml:space="preserve"> and re-emigration processes in the context of contemporary geopolitical, </w:t>
            </w:r>
            <w:proofErr w:type="gramStart"/>
            <w:r>
              <w:rPr>
                <w:i/>
              </w:rPr>
              <w:t>socio-economic</w:t>
            </w:r>
            <w:proofErr w:type="gramEnd"/>
            <w:r>
              <w:rPr>
                <w:i/>
              </w:rPr>
              <w:t xml:space="preserve"> and regional changes;</w:t>
            </w:r>
          </w:p>
          <w:p w14:paraId="6B7240E0" w14:textId="4E31668F" w:rsidR="00702ACC" w:rsidRPr="00E4719C" w:rsidRDefault="00702ACC" w:rsidP="00E4719C">
            <w:pPr>
              <w:ind w:firstLine="720"/>
              <w:rPr>
                <w:i/>
                <w:iCs/>
              </w:rPr>
            </w:pPr>
            <w:r>
              <w:rPr>
                <w:i/>
              </w:rPr>
              <w:t>5 research of Latvian literature and poetics in the perspective of national identity and inclusive society in Latvia and the world, including in the contemporary context, and research of factors influencing the production and consumption of literature in the digital age;</w:t>
            </w:r>
          </w:p>
          <w:p w14:paraId="6B209A2E" w14:textId="038AE035" w:rsidR="00702ACC" w:rsidRPr="00E4719C" w:rsidRDefault="00702ACC" w:rsidP="00E4719C">
            <w:pPr>
              <w:ind w:left="710"/>
              <w:rPr>
                <w:i/>
                <w:iCs/>
              </w:rPr>
            </w:pPr>
            <w:r>
              <w:rPr>
                <w:i/>
              </w:rPr>
              <w:t>6 research of Latvian identity. This task includes the following areas of research: a) Latvian identity and its formation in historical and contemporary contexts, including the diaspora, b) contemporary folklore and spiritual traditions in the context of Latvian identity, c) factors influencing the development of folklore studies, d) the history of ideas.</w:t>
            </w:r>
          </w:p>
          <w:p w14:paraId="4F19C403" w14:textId="27CDD859" w:rsidR="0004241C" w:rsidRPr="00E4719C" w:rsidRDefault="00702ACC" w:rsidP="00E4719C">
            <w:pPr>
              <w:rPr>
                <w:iCs/>
              </w:rPr>
            </w:pPr>
            <w:r>
              <w:t>Achievable results:</w:t>
            </w:r>
          </w:p>
          <w:p w14:paraId="7175A0A8" w14:textId="6FD74576" w:rsidR="00702ACC" w:rsidRPr="00E4719C" w:rsidRDefault="00702ACC" w:rsidP="00E4719C">
            <w:pPr>
              <w:pStyle w:val="ListParagraph"/>
              <w:numPr>
                <w:ilvl w:val="0"/>
                <w:numId w:val="27"/>
              </w:numPr>
              <w:rPr>
                <w:shd w:val="clear" w:color="auto" w:fill="auto"/>
              </w:rPr>
            </w:pPr>
            <w:r>
              <w:rPr>
                <w:shd w:val="clear" w:color="auto" w:fill="auto"/>
              </w:rPr>
              <w:t>innovative tools and solutions developed or adapted to meet the needs of end-user target groups;</w:t>
            </w:r>
          </w:p>
          <w:p w14:paraId="6B73B2B4" w14:textId="1C0AE2F4" w:rsidR="00702ACC" w:rsidRPr="00E4719C" w:rsidRDefault="00702ACC" w:rsidP="00E4719C">
            <w:pPr>
              <w:pStyle w:val="ListParagraph"/>
              <w:numPr>
                <w:ilvl w:val="0"/>
                <w:numId w:val="27"/>
              </w:numPr>
              <w:rPr>
                <w:shd w:val="clear" w:color="auto" w:fill="auto"/>
              </w:rPr>
            </w:pPr>
            <w:r>
              <w:rPr>
                <w:shd w:val="clear" w:color="auto" w:fill="auto"/>
              </w:rPr>
              <w:t>promoted policy change (e.g., by advising sectoral policy-makers, preparing recommendations and guidelines);</w:t>
            </w:r>
          </w:p>
          <w:p w14:paraId="7936E58F" w14:textId="56EB78D9" w:rsidR="00702ACC" w:rsidRPr="00E4719C" w:rsidRDefault="00702ACC" w:rsidP="00E4719C">
            <w:pPr>
              <w:pStyle w:val="ListParagraph"/>
              <w:numPr>
                <w:ilvl w:val="0"/>
                <w:numId w:val="27"/>
              </w:numPr>
              <w:rPr>
                <w:shd w:val="clear" w:color="auto" w:fill="auto"/>
              </w:rPr>
            </w:pPr>
            <w:r>
              <w:rPr>
                <w:shd w:val="clear" w:color="auto" w:fill="auto"/>
              </w:rPr>
              <w:t>established interdisciplinary and transdisciplinary consortia (with partners outside academia), involvement in international networks and consortia, project applications to the European Union and other international programmes;</w:t>
            </w:r>
          </w:p>
          <w:p w14:paraId="1E982993" w14:textId="69167334" w:rsidR="00702ACC" w:rsidRPr="00E4719C" w:rsidRDefault="00702ACC" w:rsidP="00E4719C">
            <w:pPr>
              <w:pStyle w:val="ListParagraph"/>
              <w:numPr>
                <w:ilvl w:val="0"/>
                <w:numId w:val="27"/>
              </w:numPr>
              <w:rPr>
                <w:shd w:val="clear" w:color="auto" w:fill="auto"/>
              </w:rPr>
            </w:pPr>
            <w:r>
              <w:rPr>
                <w:shd w:val="clear" w:color="auto" w:fill="auto"/>
              </w:rPr>
              <w:t>developed human capital by involving young and diaspora researchers in research, providing internships and work placements for students and PhD candidates, and developing Masters and PhD modules linked to the programme;</w:t>
            </w:r>
          </w:p>
          <w:p w14:paraId="11AC6656" w14:textId="444EF205" w:rsidR="00702ACC" w:rsidRPr="00E4719C" w:rsidRDefault="00702ACC" w:rsidP="00E4719C">
            <w:pPr>
              <w:pStyle w:val="ListParagraph"/>
              <w:numPr>
                <w:ilvl w:val="0"/>
                <w:numId w:val="27"/>
              </w:numPr>
              <w:rPr>
                <w:shd w:val="clear" w:color="auto" w:fill="auto"/>
              </w:rPr>
            </w:pPr>
            <w:r>
              <w:rPr>
                <w:shd w:val="clear" w:color="auto" w:fill="auto"/>
              </w:rPr>
              <w:t>scientific monographs and original research articles in journals or conference proceedings listed in the Web of Science or SCOPUS databases;</w:t>
            </w:r>
          </w:p>
          <w:p w14:paraId="0907FFFE" w14:textId="7002FBC5" w:rsidR="0004241C" w:rsidRPr="00E4719C" w:rsidRDefault="00702ACC" w:rsidP="00E4719C">
            <w:pPr>
              <w:pStyle w:val="ListParagraph"/>
              <w:numPr>
                <w:ilvl w:val="0"/>
                <w:numId w:val="27"/>
              </w:numPr>
              <w:rPr>
                <w:u w:val="single"/>
                <w:shd w:val="clear" w:color="auto" w:fill="auto"/>
              </w:rPr>
            </w:pPr>
            <w:r>
              <w:rPr>
                <w:shd w:val="clear" w:color="auto" w:fill="auto"/>
              </w:rPr>
              <w:t xml:space="preserve">informative popular science articles on research, </w:t>
            </w:r>
            <w:proofErr w:type="gramStart"/>
            <w:r>
              <w:rPr>
                <w:shd w:val="clear" w:color="auto" w:fill="auto"/>
              </w:rPr>
              <w:t>results</w:t>
            </w:r>
            <w:proofErr w:type="gramEnd"/>
            <w:r>
              <w:rPr>
                <w:shd w:val="clear" w:color="auto" w:fill="auto"/>
              </w:rPr>
              <w:t xml:space="preserve"> and public benefits, including contributing to the most important popular science information resources in Latvian.</w:t>
            </w:r>
          </w:p>
        </w:tc>
      </w:tr>
      <w:tr w:rsidR="004D61A7" w:rsidRPr="00E4719C" w14:paraId="5CDD4E53" w14:textId="77777777" w:rsidTr="00DF6D8F">
        <w:tc>
          <w:tcPr>
            <w:tcW w:w="709" w:type="dxa"/>
            <w:vMerge w:val="restart"/>
          </w:tcPr>
          <w:p w14:paraId="435ED935" w14:textId="77777777" w:rsidR="00EE5F77" w:rsidRPr="00E4719C" w:rsidRDefault="00EE5F77" w:rsidP="00E4719C">
            <w:pPr>
              <w:rPr>
                <w:b/>
              </w:rPr>
            </w:pPr>
            <w:r>
              <w:rPr>
                <w:b/>
              </w:rPr>
              <w:lastRenderedPageBreak/>
              <w:t>3</w:t>
            </w:r>
          </w:p>
        </w:tc>
        <w:tc>
          <w:tcPr>
            <w:tcW w:w="9214" w:type="dxa"/>
            <w:gridSpan w:val="2"/>
          </w:tcPr>
          <w:p w14:paraId="28BFB05B" w14:textId="3D659F37" w:rsidR="00EE5F77" w:rsidRPr="00E4719C" w:rsidRDefault="005314DB" w:rsidP="00E4719C">
            <w:pPr>
              <w:jc w:val="center"/>
              <w:rPr>
                <w:b/>
              </w:rPr>
            </w:pPr>
            <w:r>
              <w:rPr>
                <w:b/>
              </w:rPr>
              <w:t>Criterion: Project Feasibility and Provisions</w:t>
            </w:r>
          </w:p>
        </w:tc>
      </w:tr>
      <w:tr w:rsidR="004D61A7" w:rsidRPr="00E4719C" w14:paraId="79AC0C2E" w14:textId="77777777" w:rsidTr="00DF6D8F">
        <w:trPr>
          <w:trHeight w:val="1030"/>
        </w:trPr>
        <w:tc>
          <w:tcPr>
            <w:tcW w:w="709" w:type="dxa"/>
            <w:vMerge/>
          </w:tcPr>
          <w:p w14:paraId="3112B9FE" w14:textId="77777777" w:rsidR="00EE5F77" w:rsidRPr="00E4719C" w:rsidRDefault="00EE5F77" w:rsidP="00E4719C">
            <w:pPr>
              <w:rPr>
                <w:b/>
                <w:lang w:val="lv-LV"/>
              </w:rPr>
            </w:pPr>
          </w:p>
        </w:tc>
        <w:tc>
          <w:tcPr>
            <w:tcW w:w="9214" w:type="dxa"/>
            <w:gridSpan w:val="2"/>
          </w:tcPr>
          <w:p w14:paraId="62FBA425" w14:textId="78C247E5" w:rsidR="001836D4" w:rsidRPr="00E4719C" w:rsidRDefault="001836D4" w:rsidP="00E4719C">
            <w:pPr>
              <w:rPr>
                <w:i/>
              </w:rPr>
            </w:pPr>
            <w:r>
              <w:rPr>
                <w:i/>
                <w:iCs/>
              </w:rPr>
              <w:t xml:space="preserve">The expert shall evaluate how the scientific group of the project has achieved the objectives of the Project Proposal up to the moment of delivery of the </w:t>
            </w:r>
            <w:sdt>
              <w:sdtPr>
                <w:rPr>
                  <w:i/>
                </w:rPr>
                <w:id w:val="-1765219462"/>
                <w:placeholder>
                  <w:docPart w:val="DefaultPlaceholder_-1854013440"/>
                </w:placeholder>
              </w:sdtPr>
              <w:sdtContent>
                <w:r>
                  <w:rPr>
                    <w:i/>
                    <w:iCs/>
                  </w:rPr>
                  <w:t>mid-term/</w:t>
                </w:r>
              </w:sdtContent>
            </w:sdt>
            <w:r>
              <w:rPr>
                <w:i/>
                <w:iCs/>
              </w:rPr>
              <w:t>final report.</w:t>
            </w:r>
            <w:r>
              <w:rPr>
                <w:i/>
              </w:rPr>
              <w:t xml:space="preserve"> </w:t>
            </w:r>
            <w:r>
              <w:rPr>
                <w:i/>
                <w:iCs/>
              </w:rPr>
              <w:t xml:space="preserve">Basically, Chapter 3 “Implementation” of the </w:t>
            </w:r>
            <w:sdt>
              <w:sdtPr>
                <w:rPr>
                  <w:i/>
                </w:rPr>
                <w:id w:val="-271165311"/>
                <w:placeholder>
                  <w:docPart w:val="DefaultPlaceholder_-1854013440"/>
                </w:placeholder>
              </w:sdtPr>
              <w:sdtContent>
                <w:r>
                  <w:rPr>
                    <w:i/>
                    <w:iCs/>
                  </w:rPr>
                  <w:t>mid-term/</w:t>
                </w:r>
              </w:sdtContent>
            </w:sdt>
            <w:r>
              <w:rPr>
                <w:i/>
                <w:iCs/>
              </w:rPr>
              <w:t xml:space="preserve">final scientific report shall be </w:t>
            </w:r>
            <w:proofErr w:type="gramStart"/>
            <w:r>
              <w:rPr>
                <w:i/>
                <w:iCs/>
              </w:rPr>
              <w:t>taken into account</w:t>
            </w:r>
            <w:proofErr w:type="gramEnd"/>
            <w:r>
              <w:rPr>
                <w:i/>
                <w:iCs/>
              </w:rPr>
              <w:t xml:space="preserve">, while linking it to the </w:t>
            </w:r>
            <w:sdt>
              <w:sdtPr>
                <w:rPr>
                  <w:i/>
                </w:rPr>
                <w:id w:val="-59793109"/>
                <w:placeholder>
                  <w:docPart w:val="DefaultPlaceholder_-1854013440"/>
                </w:placeholder>
              </w:sdtPr>
              <w:sdtContent>
                <w:r>
                  <w:rPr>
                    <w:i/>
                    <w:iCs/>
                  </w:rPr>
                  <w:t>mid-term/</w:t>
                </w:r>
              </w:sdtContent>
            </w:sdt>
            <w:r>
              <w:rPr>
                <w:i/>
                <w:iCs/>
              </w:rPr>
              <w:t>final scientific report and to the Project Proposal as a whole.</w:t>
            </w:r>
            <w:r>
              <w:rPr>
                <w:i/>
              </w:rPr>
              <w:t xml:space="preserve"> In this section, the expert shall provide comments and suggestions for adjustments (in the case of a mid-term report) to the work plan or research opportunities after the end of the relevant project.</w:t>
            </w:r>
          </w:p>
          <w:p w14:paraId="6AD51C1F" w14:textId="2E40F8A7" w:rsidR="001836D4" w:rsidRPr="00E4719C" w:rsidRDefault="001836D4" w:rsidP="00E4719C">
            <w:pPr>
              <w:rPr>
                <w:i/>
              </w:rPr>
            </w:pPr>
            <w:r>
              <w:rPr>
                <w:i/>
              </w:rPr>
              <w:lastRenderedPageBreak/>
              <w:t xml:space="preserve">The expert shall evaluate whether the management of the project has been effective, including </w:t>
            </w:r>
            <w:proofErr w:type="gramStart"/>
            <w:r>
              <w:rPr>
                <w:i/>
              </w:rPr>
              <w:t>taking into account</w:t>
            </w:r>
            <w:proofErr w:type="gramEnd"/>
            <w:r>
              <w:rPr>
                <w:i/>
              </w:rPr>
              <w:t xml:space="preserve"> the overall progress of the project. The expert shall evaluate the information provided by the project implementer on the development and maintenance of data management plans. Whether the risk plan described in Sub-chapter 3.3 “Project Management and Risk Plan” of the project description has been implemented in cases where the risks materialised, and whether the solutions are credible.</w:t>
            </w:r>
          </w:p>
          <w:p w14:paraId="6D0C224F" w14:textId="1573CEF8" w:rsidR="00264912" w:rsidRPr="00E4719C" w:rsidRDefault="00264912" w:rsidP="00E4719C">
            <w:pPr>
              <w:rPr>
                <w:i/>
                <w:iCs/>
              </w:rPr>
            </w:pPr>
            <w:r>
              <w:rPr>
                <w:i/>
              </w:rPr>
              <w:t>The expert shall evaluate how the internal monitoring and risk management mechanisms of the project (research teams/</w:t>
            </w:r>
            <w:r>
              <w:rPr>
                <w:i/>
                <w:iCs/>
              </w:rPr>
              <w:t>steering committees</w:t>
            </w:r>
            <w:r>
              <w:rPr>
                <w:i/>
              </w:rPr>
              <w:t>) functioned, how they influenced the delivery and quality of the results.</w:t>
            </w:r>
          </w:p>
          <w:p w14:paraId="4B54C6B4" w14:textId="0E57D5FD" w:rsidR="00C26773" w:rsidRPr="00E4719C" w:rsidRDefault="001836D4" w:rsidP="00E4719C">
            <w:pPr>
              <w:rPr>
                <w:i/>
              </w:rPr>
            </w:pPr>
            <w:r>
              <w:rPr>
                <w:i/>
              </w:rPr>
              <w:t xml:space="preserve">In addition, the expert shall evaluate and indicate whether students and applicants for a scientific degree have been sufficiently involved in the project implementation by the specified stage. </w:t>
            </w:r>
            <w:r>
              <w:rPr>
                <w:i/>
                <w:iCs/>
              </w:rPr>
              <w:t>Students must be involved with a total workload of at least:</w:t>
            </w:r>
          </w:p>
          <w:p w14:paraId="183D4910" w14:textId="32D25182" w:rsidR="00C26773" w:rsidRPr="00E4719C" w:rsidRDefault="00C26773" w:rsidP="00E4719C">
            <w:pPr>
              <w:rPr>
                <w:i/>
              </w:rPr>
            </w:pPr>
            <w:r>
              <w:rPr>
                <w:i/>
              </w:rPr>
              <w:t>1 the project fulfilling the objectives of Sub-paragraphs 6.1 or 6.2 of the Cabinet Order for at least 3 FTE;</w:t>
            </w:r>
          </w:p>
          <w:p w14:paraId="02289D18" w14:textId="510576FD" w:rsidR="00C26773" w:rsidRPr="00E4719C" w:rsidRDefault="00C26773" w:rsidP="00E4719C">
            <w:pPr>
              <w:rPr>
                <w:i/>
              </w:rPr>
            </w:pPr>
            <w:r>
              <w:rPr>
                <w:i/>
              </w:rPr>
              <w:t xml:space="preserve">2 the project fulfilling the objectives of Sub-paragraphs 6.4, or 6.5, or 6.6 of the Cabinet Order for at least 2.5 FTE; </w:t>
            </w:r>
          </w:p>
          <w:p w14:paraId="460DE1EB" w14:textId="4013447C" w:rsidR="00C26773" w:rsidRPr="00E4719C" w:rsidRDefault="00C26773" w:rsidP="00E4719C">
            <w:pPr>
              <w:rPr>
                <w:i/>
              </w:rPr>
            </w:pPr>
            <w:r>
              <w:rPr>
                <w:i/>
              </w:rPr>
              <w:t>3 the project fulfilling the objectives of Sub-paragraphs 6.3 of the Cabinet Order for at least 0.25 FTE;</w:t>
            </w:r>
          </w:p>
          <w:p w14:paraId="175381ED" w14:textId="069966EA" w:rsidR="00EE5F77" w:rsidRPr="00E4719C" w:rsidRDefault="004A1311" w:rsidP="00E4719C">
            <w:r>
              <w:rPr>
                <w:i/>
              </w:rPr>
              <w:t>during the implementation of the project.</w:t>
            </w:r>
          </w:p>
        </w:tc>
      </w:tr>
      <w:tr w:rsidR="00DF6D8F" w:rsidRPr="00E4719C" w14:paraId="4CCB5F3D" w14:textId="77777777" w:rsidTr="00DF6D8F">
        <w:trPr>
          <w:trHeight w:val="415"/>
        </w:trPr>
        <w:tc>
          <w:tcPr>
            <w:tcW w:w="9923" w:type="dxa"/>
            <w:gridSpan w:val="3"/>
          </w:tcPr>
          <w:p w14:paraId="448210CD" w14:textId="52D20EB6" w:rsidR="00DF6D8F" w:rsidRPr="00E4719C" w:rsidRDefault="00DF6D8F" w:rsidP="00E4719C">
            <w:pPr>
              <w:jc w:val="center"/>
              <w:rPr>
                <w:b/>
                <w:bCs/>
                <w:i/>
              </w:rPr>
            </w:pPr>
            <w:r>
              <w:rPr>
                <w:b/>
                <w:i/>
              </w:rPr>
              <w:lastRenderedPageBreak/>
              <w:t>Mid-term Project Evaluation</w:t>
            </w:r>
          </w:p>
        </w:tc>
      </w:tr>
      <w:tr w:rsidR="00DF6D8F" w:rsidRPr="00E4719C" w14:paraId="112EFFE6" w14:textId="77777777" w:rsidTr="00DF6D8F">
        <w:trPr>
          <w:trHeight w:val="420"/>
        </w:trPr>
        <w:tc>
          <w:tcPr>
            <w:tcW w:w="4111" w:type="dxa"/>
            <w:gridSpan w:val="2"/>
          </w:tcPr>
          <w:p w14:paraId="587B8FFF" w14:textId="77777777" w:rsidR="00DF6D8F" w:rsidRPr="00E4719C" w:rsidRDefault="00DF6D8F" w:rsidP="00E4719C">
            <w:pPr>
              <w:rPr>
                <w:rFonts w:eastAsia="Times New Roman"/>
              </w:rPr>
            </w:pPr>
            <w:r>
              <w:rPr>
                <w:b/>
              </w:rPr>
              <w:t>Continue the project/</w:t>
            </w:r>
            <w:r>
              <w:t xml:space="preserve"> </w:t>
            </w:r>
          </w:p>
          <w:p w14:paraId="17500487" w14:textId="77777777" w:rsidR="00DF6D8F" w:rsidRPr="00E4719C" w:rsidRDefault="00DF6D8F" w:rsidP="00E4719C">
            <w:pPr>
              <w:rPr>
                <w:b/>
              </w:rPr>
            </w:pPr>
            <w:r>
              <w:rPr>
                <w:b/>
              </w:rPr>
              <w:t>Do not continue the project</w:t>
            </w:r>
          </w:p>
        </w:tc>
        <w:tc>
          <w:tcPr>
            <w:tcW w:w="5812" w:type="dxa"/>
          </w:tcPr>
          <w:p w14:paraId="73CA6F2E" w14:textId="77777777" w:rsidR="00DF6D8F" w:rsidRPr="00E4719C" w:rsidRDefault="00DF6D8F" w:rsidP="00E4719C">
            <w:pPr>
              <w:rPr>
                <w:bCs/>
                <w:i/>
                <w:iCs/>
              </w:rPr>
            </w:pPr>
            <w:r>
              <w:rPr>
                <w:i/>
              </w:rPr>
              <w:t>If the expert evaluation of the mid-term scientific report of the project is “Proceed with the project</w:t>
            </w:r>
            <w:proofErr w:type="gramStart"/>
            <w:r>
              <w:rPr>
                <w:i/>
              </w:rPr>
              <w:t>”,</w:t>
            </w:r>
            <w:proofErr w:type="gramEnd"/>
            <w:r>
              <w:rPr>
                <w:i/>
              </w:rPr>
              <w:t xml:space="preserve"> the expert may skip any final conclusions.</w:t>
            </w:r>
          </w:p>
          <w:p w14:paraId="38182422" w14:textId="77777777" w:rsidR="00DF6D8F" w:rsidRPr="00E4719C" w:rsidRDefault="00DF6D8F" w:rsidP="00E4719C">
            <w:pPr>
              <w:rPr>
                <w:bCs/>
                <w:i/>
                <w:iCs/>
              </w:rPr>
            </w:pPr>
            <w:r>
              <w:rPr>
                <w:i/>
                <w:iCs/>
              </w:rPr>
              <w:t>If the expert evaluation of the mid-term scientific report of the project is “Do not proceed with the project</w:t>
            </w:r>
            <w:proofErr w:type="gramStart"/>
            <w:r>
              <w:rPr>
                <w:i/>
                <w:iCs/>
              </w:rPr>
              <w:t>”,</w:t>
            </w:r>
            <w:proofErr w:type="gramEnd"/>
            <w:r>
              <w:rPr>
                <w:i/>
                <w:iCs/>
              </w:rPr>
              <w:t xml:space="preserve"> the expert shall provide final conclusions with an explanation and additional reasons on the progress of the project and the risks identified to the achievement of the project objective.</w:t>
            </w:r>
          </w:p>
        </w:tc>
      </w:tr>
      <w:tr w:rsidR="00BB0684" w:rsidRPr="00E4719C" w14:paraId="260A066C" w14:textId="77777777" w:rsidTr="00BC386F">
        <w:trPr>
          <w:trHeight w:val="441"/>
        </w:trPr>
        <w:tc>
          <w:tcPr>
            <w:tcW w:w="4111" w:type="dxa"/>
            <w:gridSpan w:val="2"/>
          </w:tcPr>
          <w:p w14:paraId="582F456C" w14:textId="77777777" w:rsidR="0093252E" w:rsidRPr="00E4719C" w:rsidRDefault="0093252E" w:rsidP="00941A0F">
            <w:pPr>
              <w:jc w:val="left"/>
              <w:rPr>
                <w:b/>
                <w:bCs/>
                <w:iCs/>
              </w:rPr>
            </w:pPr>
            <w:r>
              <w:rPr>
                <w:b/>
              </w:rPr>
              <w:t>Potential risks in project implementation</w:t>
            </w:r>
          </w:p>
          <w:p w14:paraId="58F434AB" w14:textId="65E5D97D" w:rsidR="00BB0684" w:rsidRPr="00E4719C" w:rsidRDefault="00BB0684" w:rsidP="00E4719C">
            <w:pPr>
              <w:jc w:val="center"/>
              <w:rPr>
                <w:b/>
                <w:i/>
                <w:iCs/>
                <w:lang w:val="lv-LV"/>
              </w:rPr>
            </w:pPr>
          </w:p>
        </w:tc>
        <w:tc>
          <w:tcPr>
            <w:tcW w:w="5812" w:type="dxa"/>
          </w:tcPr>
          <w:p w14:paraId="70346B6C" w14:textId="5C509585" w:rsidR="00BB0684" w:rsidRPr="00E4719C" w:rsidRDefault="0093252E" w:rsidP="00E4719C">
            <w:pPr>
              <w:rPr>
                <w:bCs/>
                <w:i/>
                <w:iCs/>
              </w:rPr>
            </w:pPr>
            <w:r>
              <w:rPr>
                <w:i/>
              </w:rPr>
              <w:t>If the expert evaluates the mid-term scientific report of the project with the score “Proceed with the project</w:t>
            </w:r>
            <w:proofErr w:type="gramStart"/>
            <w:r>
              <w:rPr>
                <w:i/>
              </w:rPr>
              <w:t>”,</w:t>
            </w:r>
            <w:proofErr w:type="gramEnd"/>
            <w:r>
              <w:rPr>
                <w:i/>
              </w:rPr>
              <w:t xml:space="preserve"> the expert shall indicate the risks (if any) to the project and whether they are low, medium, or high.</w:t>
            </w:r>
          </w:p>
        </w:tc>
      </w:tr>
      <w:tr w:rsidR="00BB0684" w:rsidRPr="00E4719C" w14:paraId="3E484625" w14:textId="77777777" w:rsidTr="00BC386F">
        <w:trPr>
          <w:trHeight w:val="441"/>
        </w:trPr>
        <w:tc>
          <w:tcPr>
            <w:tcW w:w="4111" w:type="dxa"/>
            <w:gridSpan w:val="2"/>
          </w:tcPr>
          <w:p w14:paraId="742C61C2" w14:textId="7B6BCBB1" w:rsidR="0093252E" w:rsidRPr="00E4719C" w:rsidRDefault="0093252E" w:rsidP="00E4719C">
            <w:pPr>
              <w:rPr>
                <w:b/>
                <w:bCs/>
              </w:rPr>
            </w:pPr>
            <w:r>
              <w:rPr>
                <w:b/>
              </w:rPr>
              <w:t>Conclusions</w:t>
            </w:r>
          </w:p>
        </w:tc>
        <w:tc>
          <w:tcPr>
            <w:tcW w:w="5812" w:type="dxa"/>
          </w:tcPr>
          <w:p w14:paraId="24019DC4" w14:textId="77777777" w:rsidR="0093252E" w:rsidRPr="00E4719C" w:rsidRDefault="0093252E" w:rsidP="00E4719C">
            <w:pPr>
              <w:rPr>
                <w:bCs/>
                <w:i/>
                <w:iCs/>
              </w:rPr>
            </w:pPr>
            <w:r>
              <w:rPr>
                <w:i/>
              </w:rPr>
              <w:t>If the expert evaluation of the mid-term scientific report of the project is “Proceed with the project</w:t>
            </w:r>
            <w:proofErr w:type="gramStart"/>
            <w:r>
              <w:rPr>
                <w:i/>
              </w:rPr>
              <w:t>”,</w:t>
            </w:r>
            <w:proofErr w:type="gramEnd"/>
            <w:r>
              <w:rPr>
                <w:i/>
              </w:rPr>
              <w:t xml:space="preserve"> the expert may skip any final conclusions.</w:t>
            </w:r>
          </w:p>
          <w:p w14:paraId="425B2932" w14:textId="71630F7A" w:rsidR="00BB0684" w:rsidRPr="00E4719C" w:rsidRDefault="0093252E" w:rsidP="00E4719C">
            <w:pPr>
              <w:rPr>
                <w:b/>
                <w:bCs/>
                <w:i/>
              </w:rPr>
            </w:pPr>
            <w:r>
              <w:rPr>
                <w:i/>
                <w:iCs/>
              </w:rPr>
              <w:t>If the expert evaluation of the mid-term scientific report of the project is “Do not proceed with the project</w:t>
            </w:r>
            <w:proofErr w:type="gramStart"/>
            <w:r>
              <w:rPr>
                <w:i/>
                <w:iCs/>
              </w:rPr>
              <w:t>”,</w:t>
            </w:r>
            <w:proofErr w:type="gramEnd"/>
            <w:r>
              <w:rPr>
                <w:i/>
                <w:iCs/>
              </w:rPr>
              <w:t xml:space="preserve"> the expert shall provide final conclusions with an explanation and additional reasons on the progress of the project and the risks identified to the achievement of the project objective.</w:t>
            </w:r>
          </w:p>
        </w:tc>
      </w:tr>
      <w:tr w:rsidR="00BB0684" w:rsidRPr="00E4719C" w14:paraId="2BCA9F97" w14:textId="77777777" w:rsidTr="00DF6D8F">
        <w:trPr>
          <w:trHeight w:val="441"/>
        </w:trPr>
        <w:tc>
          <w:tcPr>
            <w:tcW w:w="9923" w:type="dxa"/>
            <w:gridSpan w:val="3"/>
          </w:tcPr>
          <w:p w14:paraId="23BD2F41" w14:textId="20C9DEDE" w:rsidR="00BB0684" w:rsidRPr="00E4719C" w:rsidRDefault="00BB0684" w:rsidP="00E4719C">
            <w:pPr>
              <w:jc w:val="center"/>
              <w:rPr>
                <w:b/>
                <w:bCs/>
                <w:i/>
              </w:rPr>
            </w:pPr>
            <w:r>
              <w:rPr>
                <w:b/>
                <w:i/>
              </w:rPr>
              <w:t>Final Project Evaluation</w:t>
            </w:r>
          </w:p>
        </w:tc>
      </w:tr>
      <w:tr w:rsidR="00BB0684" w:rsidRPr="00E4719C" w14:paraId="3727F64C" w14:textId="77777777" w:rsidTr="00BB0684">
        <w:trPr>
          <w:trHeight w:val="1030"/>
        </w:trPr>
        <w:tc>
          <w:tcPr>
            <w:tcW w:w="4111" w:type="dxa"/>
            <w:gridSpan w:val="2"/>
          </w:tcPr>
          <w:p w14:paraId="699A15D5" w14:textId="77777777" w:rsidR="00BB0684" w:rsidRPr="00E4719C" w:rsidRDefault="00BB0684" w:rsidP="00E4719C">
            <w:pPr>
              <w:rPr>
                <w:b/>
                <w:bCs/>
                <w:iCs/>
              </w:rPr>
            </w:pPr>
            <w:r>
              <w:rPr>
                <w:b/>
              </w:rPr>
              <w:t xml:space="preserve">Project objective has been achieved. </w:t>
            </w:r>
          </w:p>
          <w:p w14:paraId="57447EB8" w14:textId="6C60B56A" w:rsidR="00BB0684" w:rsidRPr="00E4719C" w:rsidRDefault="00BB0684" w:rsidP="00E4719C">
            <w:pPr>
              <w:rPr>
                <w:i/>
              </w:rPr>
            </w:pPr>
            <w:r>
              <w:rPr>
                <w:i/>
              </w:rPr>
              <w:t>Project objective has been achieved – the overall score as a percentage is between 85% and 100% and more.</w:t>
            </w:r>
          </w:p>
          <w:p w14:paraId="11B96918" w14:textId="1A09FFFA" w:rsidR="00BB0684" w:rsidRPr="00E4719C" w:rsidRDefault="00BB0684" w:rsidP="00E4719C">
            <w:pPr>
              <w:rPr>
                <w:iCs/>
              </w:rPr>
            </w:pPr>
            <w:r>
              <w:rPr>
                <w:b/>
                <w:bCs/>
              </w:rPr>
              <w:t>Project objective has not been achieved,</w:t>
            </w:r>
            <w:r>
              <w:rPr>
                <w:i/>
              </w:rPr>
              <w:t xml:space="preserve"> </w:t>
            </w:r>
            <w:r>
              <w:rPr>
                <w:b/>
              </w:rPr>
              <w:t xml:space="preserve">objective rating as a percentage. </w:t>
            </w:r>
          </w:p>
          <w:p w14:paraId="11016D00" w14:textId="77777777" w:rsidR="00BB0684" w:rsidRPr="00E4719C" w:rsidRDefault="00BB0684" w:rsidP="00E4719C">
            <w:pPr>
              <w:rPr>
                <w:i/>
              </w:rPr>
            </w:pPr>
            <w:r>
              <w:rPr>
                <w:i/>
              </w:rPr>
              <w:t xml:space="preserve">The project objective has not been </w:t>
            </w:r>
            <w:proofErr w:type="gramStart"/>
            <w:r>
              <w:rPr>
                <w:i/>
              </w:rPr>
              <w:t>achieved,</w:t>
            </w:r>
            <w:proofErr w:type="gramEnd"/>
            <w:r>
              <w:rPr>
                <w:i/>
              </w:rPr>
              <w:t xml:space="preserve"> it does not correspond </w:t>
            </w:r>
            <w:r>
              <w:rPr>
                <w:i/>
              </w:rPr>
              <w:lastRenderedPageBreak/>
              <w:t xml:space="preserve">partially - overall rating as a percentage is 25%-84% </w:t>
            </w:r>
          </w:p>
          <w:p w14:paraId="7EBF6413" w14:textId="77777777" w:rsidR="00BB0684" w:rsidRPr="00E4719C" w:rsidRDefault="00BB0684" w:rsidP="00E4719C">
            <w:pPr>
              <w:rPr>
                <w:i/>
              </w:rPr>
            </w:pPr>
            <w:r>
              <w:rPr>
                <w:i/>
              </w:rPr>
              <w:t xml:space="preserve">The project objective has not been </w:t>
            </w:r>
            <w:proofErr w:type="gramStart"/>
            <w:r>
              <w:rPr>
                <w:i/>
              </w:rPr>
              <w:t>achieved,</w:t>
            </w:r>
            <w:proofErr w:type="gramEnd"/>
            <w:r>
              <w:rPr>
                <w:i/>
              </w:rPr>
              <w:t xml:space="preserve"> it does not correspond at all - overall rating as a percentage is 0%-24%</w:t>
            </w:r>
          </w:p>
        </w:tc>
        <w:tc>
          <w:tcPr>
            <w:tcW w:w="5812" w:type="dxa"/>
          </w:tcPr>
          <w:p w14:paraId="0F6F2D42" w14:textId="7B273BFB" w:rsidR="00BB0684" w:rsidRPr="00E4719C" w:rsidRDefault="00BB0684" w:rsidP="00E4719C">
            <w:pPr>
              <w:rPr>
                <w:i/>
              </w:rPr>
            </w:pPr>
            <w:r>
              <w:rPr>
                <w:i/>
              </w:rPr>
              <w:lastRenderedPageBreak/>
              <w:t xml:space="preserve">The expert provides a target rating as a percentage in the overall rating of the final scientific report of the project according to the rating scale set out in clause 31 of the methodology.                                                                                                                                                                                                                                                                                                                                                                                                                                       </w:t>
            </w:r>
          </w:p>
        </w:tc>
      </w:tr>
    </w:tbl>
    <w:p w14:paraId="23018730" w14:textId="77777777" w:rsidR="00DF6D8F" w:rsidRPr="00E4719C" w:rsidRDefault="00DF6D8F" w:rsidP="00E4719C">
      <w:pPr>
        <w:spacing w:after="160" w:line="259" w:lineRule="auto"/>
        <w:jc w:val="center"/>
        <w:rPr>
          <w:b/>
          <w:bCs/>
        </w:rPr>
      </w:pPr>
      <w:bookmarkStart w:id="14" w:name="_Toc513469515"/>
    </w:p>
    <w:p w14:paraId="66E5180A" w14:textId="4DAA8D74" w:rsidR="00EE5F77" w:rsidRPr="00E4719C" w:rsidRDefault="006E2F6D" w:rsidP="00E4719C">
      <w:pPr>
        <w:spacing w:after="160" w:line="259" w:lineRule="auto"/>
        <w:jc w:val="center"/>
        <w:rPr>
          <w:b/>
          <w:bCs/>
        </w:rPr>
      </w:pPr>
      <w:r>
        <w:rPr>
          <w:b/>
        </w:rPr>
        <w:t>3.2 Consolidated Evaluation of the Mid-term and Final Scientific Reports of the Project</w:t>
      </w:r>
      <w:bookmarkEnd w:id="14"/>
    </w:p>
    <w:p w14:paraId="7DD818E3" w14:textId="77777777" w:rsidR="00EE5F77" w:rsidRPr="00E4719C" w:rsidRDefault="00EE5F77" w:rsidP="00E4719C">
      <w:pPr>
        <w:rPr>
          <w:lang w:val="lv-LV"/>
        </w:rPr>
      </w:pPr>
    </w:p>
    <w:p w14:paraId="663FB3D3" w14:textId="7FAFE4DD" w:rsidR="00EE5F77" w:rsidRPr="00E4719C" w:rsidRDefault="00656870" w:rsidP="00E4719C">
      <w:pPr>
        <w:ind w:firstLine="720"/>
      </w:pPr>
      <w:r>
        <w:t xml:space="preserve">28 Once the experts have completed and validated their Individual Evaluation of the </w:t>
      </w:r>
      <w:sdt>
        <w:sdtPr>
          <w:id w:val="-1895575788"/>
          <w:placeholder>
            <w:docPart w:val="DefaultPlaceholder_-1854013440"/>
          </w:placeholder>
        </w:sdtPr>
        <w:sdtContent>
          <w:r>
            <w:t>mid-term or</w:t>
          </w:r>
        </w:sdtContent>
      </w:sdt>
      <w:r>
        <w:t xml:space="preserve"> final scientific report in the Information System, the Council shall give each expert access to the Individual Evaluation completed by the other expert </w:t>
      </w:r>
      <w:proofErr w:type="gramStart"/>
      <w:r>
        <w:t>and also</w:t>
      </w:r>
      <w:proofErr w:type="gramEnd"/>
      <w:r>
        <w:t xml:space="preserve"> disclose the identity of the other experts to each expert.</w:t>
      </w:r>
    </w:p>
    <w:p w14:paraId="34E28D21" w14:textId="77777777" w:rsidR="00EE5F77" w:rsidRPr="00E4719C" w:rsidRDefault="00EE5F77" w:rsidP="00E4719C">
      <w:pPr>
        <w:ind w:left="360" w:hanging="360"/>
        <w:rPr>
          <w:lang w:val="lv-LV"/>
        </w:rPr>
      </w:pPr>
    </w:p>
    <w:p w14:paraId="724CFEE8" w14:textId="0CADCB80" w:rsidR="00EE5F77" w:rsidRPr="00E4719C" w:rsidRDefault="00EE5F77" w:rsidP="00E4719C">
      <w:r>
        <w:tab/>
        <w:t xml:space="preserve">29 One of the experts shall complete the consolidated assessment in accordance with Annex 10 to the regulations “Individual/consolidated evaluation form for the </w:t>
      </w:r>
      <w:sdt>
        <w:sdtPr>
          <w:id w:val="1429930246"/>
          <w:placeholder>
            <w:docPart w:val="DefaultPlaceholder_-1854013440"/>
          </w:placeholder>
        </w:sdtPr>
        <w:sdtContent>
          <w:r>
            <w:t>mid-term/final</w:t>
          </w:r>
          <w:r w:rsidR="00941A0F">
            <w:t xml:space="preserve"> </w:t>
          </w:r>
        </w:sdtContent>
      </w:sdt>
      <w:r>
        <w:t>scientific report”, under the conditions set out in Paragraphs 25 to 27 of the Methodology, in the information system and all the experts shall confirm it in the information system. All experts confirm it in the information system within a week.</w:t>
      </w:r>
    </w:p>
    <w:p w14:paraId="26E757C7" w14:textId="77777777" w:rsidR="00F03507" w:rsidRPr="00E4719C" w:rsidRDefault="00F03507" w:rsidP="00E4719C">
      <w:pPr>
        <w:rPr>
          <w:b/>
          <w:lang w:val="lv-LV"/>
        </w:rPr>
      </w:pPr>
    </w:p>
    <w:p w14:paraId="274F2E0B" w14:textId="6A8C70A9" w:rsidR="00EE5F77" w:rsidRPr="00E4719C" w:rsidRDefault="00F94179" w:rsidP="00E4719C">
      <w:pPr>
        <w:ind w:firstLine="709"/>
      </w:pPr>
      <w:r>
        <w:t xml:space="preserve">30 In the consolidated evaluation, the experts shall agree on a single score for the </w:t>
      </w:r>
      <w:sdt>
        <w:sdtPr>
          <w:id w:val="1929847024"/>
          <w:placeholder>
            <w:docPart w:val="DefaultPlaceholder_-1854013440"/>
          </w:placeholder>
        </w:sdtPr>
        <w:sdtContent>
          <w:r>
            <w:t>mid-term or</w:t>
          </w:r>
        </w:sdtContent>
      </w:sdt>
      <w:r>
        <w:t xml:space="preserve"> final scientific report and summarise the comments made in the individual evaluations.</w:t>
      </w:r>
    </w:p>
    <w:p w14:paraId="7CFFD7A0" w14:textId="49ED19B0" w:rsidR="00F21B70" w:rsidRPr="00E4719C" w:rsidRDefault="00F21B70" w:rsidP="00E4719C">
      <w:pPr>
        <w:rPr>
          <w:lang w:val="lv-LV"/>
        </w:rPr>
      </w:pPr>
    </w:p>
    <w:p w14:paraId="27FF48B6" w14:textId="77777777" w:rsidR="0094247B" w:rsidRPr="00E4719C" w:rsidRDefault="0094247B" w:rsidP="00E4719C">
      <w:pPr>
        <w:rPr>
          <w:lang w:val="lv-LV"/>
        </w:rPr>
      </w:pPr>
    </w:p>
    <w:p w14:paraId="628ED335" w14:textId="77777777" w:rsidR="001335F1" w:rsidRPr="00E4719C" w:rsidRDefault="001335F1" w:rsidP="00E4719C">
      <w:pPr>
        <w:keepNext/>
        <w:keepLines/>
        <w:spacing w:before="40"/>
        <w:jc w:val="center"/>
        <w:outlineLvl w:val="1"/>
        <w:rPr>
          <w:rFonts w:eastAsiaTheme="majorEastAsia"/>
          <w:b/>
          <w:sz w:val="23"/>
          <w:szCs w:val="23"/>
        </w:rPr>
      </w:pPr>
      <w:bookmarkStart w:id="15" w:name="_Toc79581055"/>
      <w:bookmarkStart w:id="16" w:name="_Toc143245580"/>
      <w:r>
        <w:rPr>
          <w:b/>
          <w:sz w:val="23"/>
        </w:rPr>
        <w:t>3.3 Evaluation of the Objective of the Final Scientific Report</w:t>
      </w:r>
      <w:bookmarkEnd w:id="15"/>
      <w:bookmarkEnd w:id="16"/>
    </w:p>
    <w:p w14:paraId="1C4977CA" w14:textId="77777777" w:rsidR="001335F1" w:rsidRPr="00E4719C" w:rsidRDefault="001335F1" w:rsidP="00E4719C">
      <w:pPr>
        <w:ind w:firstLine="720"/>
        <w:contextualSpacing/>
        <w:rPr>
          <w:sz w:val="23"/>
          <w:szCs w:val="23"/>
          <w:lang w:val="lv-LV" w:bidi="ar-SA"/>
        </w:rPr>
      </w:pPr>
    </w:p>
    <w:p w14:paraId="1928D8B6" w14:textId="77777777" w:rsidR="00F94179" w:rsidRPr="00E4719C" w:rsidRDefault="00F94179" w:rsidP="00E4719C">
      <w:pPr>
        <w:ind w:firstLine="567"/>
      </w:pPr>
      <w:r>
        <w:t>31 In the consolidated valuation of the final report, both experts shall agree on a consolidated percentage score with the following meaning:</w:t>
      </w:r>
    </w:p>
    <w:p w14:paraId="4F0E86DF" w14:textId="37F3282D" w:rsidR="00F94179" w:rsidRPr="00E4719C" w:rsidRDefault="00F94179" w:rsidP="00E4719C">
      <w:pPr>
        <w:ind w:firstLine="709"/>
      </w:pPr>
      <w:r>
        <w:t xml:space="preserve">31.1 The project objective has been achieved – the overall score as a percentage is between 85% and 100% and more. The score is given if the project has been carried out with good or excellent scientific quality and has met or exceeded the expected objectives and scientific results. Where there </w:t>
      </w:r>
      <w:proofErr w:type="gramStart"/>
      <w:r>
        <w:t>is</w:t>
      </w:r>
      <w:proofErr w:type="gramEnd"/>
      <w:r>
        <w:t xml:space="preserve"> non-performance or other minor shortcomings, but the existing scientific results are of good scientific quality, e.g. the scientific articles are published in high quality journals, so that these shortcomings have not affected the achievement of the objective. </w:t>
      </w:r>
    </w:p>
    <w:p w14:paraId="7B590129" w14:textId="77777777" w:rsidR="00F94179" w:rsidRPr="00E4719C" w:rsidRDefault="00F94179" w:rsidP="00E4719C">
      <w:pPr>
        <w:ind w:firstLine="709"/>
      </w:pPr>
      <w:r>
        <w:t xml:space="preserve">31.2 The project objective has not been </w:t>
      </w:r>
      <w:proofErr w:type="gramStart"/>
      <w:r>
        <w:t>achieved,</w:t>
      </w:r>
      <w:proofErr w:type="gramEnd"/>
      <w:r>
        <w:t xml:space="preserve"> it does not correspond partially – the overall score as a percentage is between 25% and 84%. The score is awarded if the project has been carried out with sufficient scientific merit, the planned results of the project have been partially achieved, which has affected the overall achievement of the project objectives.</w:t>
      </w:r>
    </w:p>
    <w:p w14:paraId="208E6E2B" w14:textId="77777777" w:rsidR="00F94179" w:rsidRPr="00E4719C" w:rsidRDefault="00F94179" w:rsidP="00E4719C">
      <w:pPr>
        <w:ind w:firstLine="709"/>
      </w:pPr>
      <w:r>
        <w:t xml:space="preserve">31.3 The project objective has not been </w:t>
      </w:r>
      <w:proofErr w:type="gramStart"/>
      <w:r>
        <w:t>achieved,</w:t>
      </w:r>
      <w:proofErr w:type="gramEnd"/>
      <w:r>
        <w:t xml:space="preserve"> it does not correspond at all – the overall score as a percentage is between 0% and 24%. The score is awarded if the project has been carried out with insufficient scientific quality, the planned results have been entirely or almost entirely not achieved, and the overall objective of the project has therefore not been achieved, or has been achieved to an insufficient extent. </w:t>
      </w:r>
    </w:p>
    <w:p w14:paraId="13252D3C" w14:textId="77777777" w:rsidR="00F94179" w:rsidRPr="00E4719C" w:rsidRDefault="00F94179" w:rsidP="00E4719C">
      <w:pPr>
        <w:ind w:firstLine="709"/>
        <w:rPr>
          <w:lang w:val="lv-LV" w:bidi="ar-SA"/>
        </w:rPr>
      </w:pPr>
    </w:p>
    <w:p w14:paraId="14450076" w14:textId="24A5A3B0" w:rsidR="00F94179" w:rsidRPr="00E4719C" w:rsidRDefault="00F94179" w:rsidP="00E4719C">
      <w:pPr>
        <w:tabs>
          <w:tab w:val="left" w:pos="66"/>
          <w:tab w:val="left" w:pos="567"/>
          <w:tab w:val="left" w:pos="1134"/>
        </w:tabs>
      </w:pPr>
      <w:r>
        <w:tab/>
      </w:r>
      <w:r>
        <w:tab/>
        <w:t xml:space="preserve">  32 </w:t>
      </w:r>
      <w:proofErr w:type="gramStart"/>
      <w:r>
        <w:t>Taking into account</w:t>
      </w:r>
      <w:proofErr w:type="gramEnd"/>
      <w:r>
        <w:t xml:space="preserve"> the percentage of the score provided for in Paragraph 31 of the Methodology, the Council shall calculate the refundable part of the funding as follows:</w:t>
      </w:r>
    </w:p>
    <w:p w14:paraId="362F620B" w14:textId="77777777" w:rsidR="00F94179" w:rsidRPr="00E4719C" w:rsidRDefault="00F94179" w:rsidP="00E4719C">
      <w:pPr>
        <w:tabs>
          <w:tab w:val="left" w:pos="66"/>
          <w:tab w:val="left" w:pos="567"/>
          <w:tab w:val="left" w:pos="1134"/>
        </w:tabs>
      </w:pPr>
      <w:r>
        <w:tab/>
      </w:r>
      <w:r>
        <w:tab/>
        <w:t xml:space="preserve">   32.1 if the percentage of the objective score of the experts referred to in Sub-clause 2.20 of the Contract is between 60% and 65%, a flat rate of 5% shall be applied;</w:t>
      </w:r>
    </w:p>
    <w:p w14:paraId="52D11C28" w14:textId="77777777" w:rsidR="00F94179" w:rsidRPr="00E4719C" w:rsidRDefault="00F94179" w:rsidP="00E4719C">
      <w:pPr>
        <w:tabs>
          <w:tab w:val="left" w:pos="66"/>
          <w:tab w:val="left" w:pos="567"/>
          <w:tab w:val="left" w:pos="1134"/>
        </w:tabs>
      </w:pPr>
      <w:r>
        <w:tab/>
      </w:r>
      <w:r>
        <w:tab/>
        <w:t xml:space="preserve">  32.2 if the percentage of the objective score of the experts referred to in Sub-clause 2.20 of the Contract is between 50% and 59%, a flat rate of 10% shall be applied;</w:t>
      </w:r>
    </w:p>
    <w:p w14:paraId="3B321468" w14:textId="77777777" w:rsidR="00F94179" w:rsidRPr="00E4719C" w:rsidRDefault="00F94179" w:rsidP="00E4719C">
      <w:pPr>
        <w:tabs>
          <w:tab w:val="left" w:pos="66"/>
          <w:tab w:val="left" w:pos="567"/>
          <w:tab w:val="left" w:pos="1134"/>
        </w:tabs>
      </w:pPr>
      <w:r>
        <w:lastRenderedPageBreak/>
        <w:tab/>
        <w:t xml:space="preserve">          32.3 if the percentage of the objective score of the experts referred to in Sub-clause 2.20 of the Contract is below 50%, a flat rate of 25% shall be applied.</w:t>
      </w:r>
    </w:p>
    <w:p w14:paraId="743C1B46" w14:textId="77777777" w:rsidR="001335F1" w:rsidRPr="00E4719C" w:rsidRDefault="001335F1" w:rsidP="00E4719C">
      <w:pPr>
        <w:rPr>
          <w:lang w:val="lv-LV"/>
        </w:rPr>
      </w:pPr>
    </w:p>
    <w:sectPr w:rsidR="001335F1" w:rsidRPr="00E4719C" w:rsidSect="003C3687">
      <w:headerReference w:type="default" r:id="rId8"/>
      <w:headerReference w:type="first" r:id="rId9"/>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F52C9" w14:textId="77777777" w:rsidR="00CA50E7" w:rsidRDefault="00CA50E7" w:rsidP="00EE5F77">
      <w:r>
        <w:separator/>
      </w:r>
    </w:p>
  </w:endnote>
  <w:endnote w:type="continuationSeparator" w:id="0">
    <w:p w14:paraId="056A8501" w14:textId="77777777" w:rsidR="00CA50E7" w:rsidRDefault="00CA50E7"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B93CC" w14:textId="77777777" w:rsidR="00CA50E7" w:rsidRDefault="00CA50E7" w:rsidP="00EE5F77">
      <w:r>
        <w:separator/>
      </w:r>
    </w:p>
  </w:footnote>
  <w:footnote w:type="continuationSeparator" w:id="0">
    <w:p w14:paraId="60327141" w14:textId="77777777" w:rsidR="00CA50E7" w:rsidRDefault="00CA50E7" w:rsidP="00EE5F77">
      <w:r>
        <w:continuationSeparator/>
      </w:r>
    </w:p>
  </w:footnote>
  <w:footnote w:id="1">
    <w:p w14:paraId="7CF4AD93" w14:textId="0A569557" w:rsidR="00410212" w:rsidRPr="00E4719C" w:rsidRDefault="00410212" w:rsidP="00E4719C">
      <w:pPr>
        <w:pStyle w:val="FootnoteText"/>
      </w:pPr>
      <w:r>
        <w:rPr>
          <w:rStyle w:val="FootnoteReference"/>
        </w:rPr>
        <w:footnoteRef/>
      </w:r>
      <w:r>
        <w:t xml:space="preserve"> Section 27(1) of the Law on Higher Education Institutions</w:t>
      </w:r>
    </w:p>
  </w:footnote>
  <w:footnote w:id="2">
    <w:p w14:paraId="54CF3FB6" w14:textId="2125DF99" w:rsidR="00410212" w:rsidRPr="00E4719C" w:rsidRDefault="00410212" w:rsidP="00E4719C">
      <w:pPr>
        <w:pStyle w:val="FootnoteText"/>
      </w:pPr>
      <w:r>
        <w:rPr>
          <w:rStyle w:val="FootnoteReference"/>
        </w:rPr>
        <w:footnoteRef/>
      </w:r>
      <w:r>
        <w:t xml:space="preserve"> Article 2(83) of Commission Regulation (EU) No </w:t>
      </w:r>
      <w:hyperlink r:id="rId1" w:tgtFrame="_blank" w:history="1">
        <w:r>
          <w:t>651/2014</w:t>
        </w:r>
      </w:hyperlink>
      <w:r>
        <w:t xml:space="preserve"> of 17 June 2014 declaring certain categories of aid compatible with the internal market in application of Articles 107 and 108 of the Treaty (Official Journal of the European Union, 26 June 2014, L 187/1) (</w:t>
      </w:r>
      <w:hyperlink r:id="rId2" w:history="1">
        <w:r>
          <w:rPr>
            <w:rStyle w:val="Hyperlink"/>
          </w:rPr>
          <w:t>https://eur-lex.europa.eu/eli/reg/2014/651/oj/?locale=LV</w:t>
        </w:r>
      </w:hyperlink>
      <w:r>
        <w:t xml:space="preserve">) </w:t>
      </w:r>
    </w:p>
  </w:footnote>
  <w:footnote w:id="3">
    <w:p w14:paraId="48A60085" w14:textId="602B2F6A" w:rsidR="00410212" w:rsidRPr="00E4719C" w:rsidRDefault="00410212" w:rsidP="00E4719C">
      <w:pPr>
        <w:pStyle w:val="FootnoteText"/>
      </w:pPr>
      <w:r>
        <w:rPr>
          <w:rStyle w:val="FootnoteReference"/>
        </w:rPr>
        <w:footnoteRef/>
      </w:r>
      <w:r>
        <w:t xml:space="preserve"> Section 44, Paragraph one of the Law on Higher Education Institutions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157058"/>
      <w:docPartObj>
        <w:docPartGallery w:val="Page Numbers (Top of Page)"/>
        <w:docPartUnique/>
      </w:docPartObj>
    </w:sdtPr>
    <w:sdtEndPr>
      <w:rPr>
        <w:noProof/>
      </w:rPr>
    </w:sdtEndPr>
    <w:sdtContent>
      <w:p w14:paraId="6F9BA14F" w14:textId="44560CB9" w:rsidR="00410212" w:rsidRPr="00E4719C" w:rsidRDefault="00410212" w:rsidP="00E4719C">
        <w:pPr>
          <w:pStyle w:val="Header"/>
          <w:jc w:val="center"/>
        </w:pPr>
        <w:r w:rsidRPr="00E4719C">
          <w:fldChar w:fldCharType="begin"/>
        </w:r>
        <w:r w:rsidRPr="00E4719C">
          <w:instrText xml:space="preserve"> PAGE   \* MERGEFORMAT </w:instrText>
        </w:r>
        <w:r w:rsidRPr="00E4719C">
          <w:fldChar w:fldCharType="separate"/>
        </w:r>
        <w:r w:rsidR="009F3B00" w:rsidRPr="00E4719C">
          <w:t>7</w:t>
        </w:r>
        <w:r w:rsidRPr="00E4719C">
          <w:fldChar w:fldCharType="end"/>
        </w:r>
      </w:p>
    </w:sdtContent>
  </w:sdt>
  <w:p w14:paraId="04F6E7B1" w14:textId="77777777" w:rsidR="00410212" w:rsidRPr="00E4719C" w:rsidRDefault="00410212" w:rsidP="00E47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E60F" w14:textId="4F325A67" w:rsidR="00E4719C" w:rsidRPr="006A5456" w:rsidRDefault="006A5456" w:rsidP="006A5456">
    <w:pPr>
      <w:pStyle w:val="Header"/>
      <w:jc w:val="right"/>
      <w:rPr>
        <w:i/>
        <w:iCs/>
      </w:rPr>
    </w:pPr>
    <w:r>
      <w:rPr>
        <w:i/>
        <w:iCs/>
      </w:rPr>
      <w:t>Translation from Latvian into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09BA57D7"/>
    <w:multiLevelType w:val="hybridMultilevel"/>
    <w:tmpl w:val="B2EA7040"/>
    <w:lvl w:ilvl="0" w:tplc="1AAEFB6A">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9401F2"/>
    <w:multiLevelType w:val="hybridMultilevel"/>
    <w:tmpl w:val="9196D3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711AFE"/>
    <w:multiLevelType w:val="multilevel"/>
    <w:tmpl w:val="CB760786"/>
    <w:lvl w:ilvl="0">
      <w:start w:val="1"/>
      <w:numFmt w:val="decimal"/>
      <w:lvlText w:val="%1."/>
      <w:lvlJc w:val="left"/>
      <w:pPr>
        <w:ind w:left="1188" w:hanging="360"/>
      </w:pPr>
      <w:rPr>
        <w:rFonts w:hint="default"/>
      </w:rPr>
    </w:lvl>
    <w:lvl w:ilvl="1">
      <w:start w:val="1"/>
      <w:numFmt w:val="decimal"/>
      <w:isLgl/>
      <w:lvlText w:val="%2."/>
      <w:lvlJc w:val="left"/>
      <w:pPr>
        <w:ind w:left="1248" w:hanging="42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1908" w:hanging="1080"/>
      </w:pPr>
      <w:rPr>
        <w:rFonts w:hint="default"/>
      </w:rPr>
    </w:lvl>
    <w:lvl w:ilvl="6">
      <w:start w:val="1"/>
      <w:numFmt w:val="decimal"/>
      <w:isLgl/>
      <w:lvlText w:val="%1.%2.%3.%4.%5.%6.%7."/>
      <w:lvlJc w:val="left"/>
      <w:pPr>
        <w:ind w:left="2268" w:hanging="1440"/>
      </w:pPr>
      <w:rPr>
        <w:rFonts w:hint="default"/>
      </w:rPr>
    </w:lvl>
    <w:lvl w:ilvl="7">
      <w:start w:val="1"/>
      <w:numFmt w:val="decimal"/>
      <w:isLgl/>
      <w:lvlText w:val="%1.%2.%3.%4.%5.%6.%7.%8."/>
      <w:lvlJc w:val="left"/>
      <w:pPr>
        <w:ind w:left="2268" w:hanging="1440"/>
      </w:pPr>
      <w:rPr>
        <w:rFonts w:hint="default"/>
      </w:rPr>
    </w:lvl>
    <w:lvl w:ilvl="8">
      <w:start w:val="1"/>
      <w:numFmt w:val="decimal"/>
      <w:isLgl/>
      <w:lvlText w:val="%1.%2.%3.%4.%5.%6.%7.%8.%9."/>
      <w:lvlJc w:val="left"/>
      <w:pPr>
        <w:ind w:left="2628" w:hanging="1800"/>
      </w:pPr>
      <w:rPr>
        <w:rFonts w:hint="default"/>
      </w:rPr>
    </w:lvl>
  </w:abstractNum>
  <w:abstractNum w:abstractNumId="5" w15:restartNumberingAfterBreak="0">
    <w:nsid w:val="0E54704F"/>
    <w:multiLevelType w:val="multilevel"/>
    <w:tmpl w:val="1DA81856"/>
    <w:lvl w:ilvl="0">
      <w:start w:val="1"/>
      <w:numFmt w:val="decimal"/>
      <w:lvlText w:val="%1."/>
      <w:lvlJc w:val="left"/>
      <w:pPr>
        <w:ind w:left="1440" w:hanging="360"/>
      </w:pPr>
      <w:rPr>
        <w:rFonts w:hint="default"/>
      </w:rPr>
    </w:lvl>
    <w:lvl w:ilvl="1">
      <w:start w:val="1"/>
      <w:numFmt w:val="decimal"/>
      <w:lvlText w:val="%1.%2."/>
      <w:lvlJc w:val="left"/>
      <w:pPr>
        <w:ind w:left="2688" w:hanging="36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5544" w:hanging="720"/>
      </w:pPr>
      <w:rPr>
        <w:rFonts w:hint="default"/>
      </w:rPr>
    </w:lvl>
    <w:lvl w:ilvl="4">
      <w:start w:val="1"/>
      <w:numFmt w:val="decimal"/>
      <w:lvlText w:val="%1.%2.%3.%4.%5."/>
      <w:lvlJc w:val="left"/>
      <w:pPr>
        <w:ind w:left="7152" w:hanging="1080"/>
      </w:pPr>
      <w:rPr>
        <w:rFonts w:hint="default"/>
      </w:rPr>
    </w:lvl>
    <w:lvl w:ilvl="5">
      <w:start w:val="1"/>
      <w:numFmt w:val="decimal"/>
      <w:lvlText w:val="%1.%2.%3.%4.%5.%6."/>
      <w:lvlJc w:val="left"/>
      <w:pPr>
        <w:ind w:left="840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256" w:hanging="1440"/>
      </w:pPr>
      <w:rPr>
        <w:rFonts w:hint="default"/>
      </w:rPr>
    </w:lvl>
    <w:lvl w:ilvl="8">
      <w:start w:val="1"/>
      <w:numFmt w:val="decimal"/>
      <w:lvlText w:val="%1.%2.%3.%4.%5.%6.%7.%8.%9."/>
      <w:lvlJc w:val="left"/>
      <w:pPr>
        <w:ind w:left="12864" w:hanging="1800"/>
      </w:pPr>
      <w:rPr>
        <w:rFonts w:hint="default"/>
      </w:rPr>
    </w:lvl>
  </w:abstractNum>
  <w:abstractNum w:abstractNumId="6" w15:restartNumberingAfterBreak="0">
    <w:nsid w:val="12C3006F"/>
    <w:multiLevelType w:val="hybridMultilevel"/>
    <w:tmpl w:val="923469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9D072C6"/>
    <w:multiLevelType w:val="multilevel"/>
    <w:tmpl w:val="08FCEF72"/>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D44B2B"/>
    <w:multiLevelType w:val="multilevel"/>
    <w:tmpl w:val="D58260B0"/>
    <w:lvl w:ilvl="0">
      <w:start w:val="2"/>
      <w:numFmt w:val="decimal"/>
      <w:lvlText w:val="%1"/>
      <w:lvlJc w:val="left"/>
      <w:pPr>
        <w:ind w:left="360" w:hanging="360"/>
      </w:pPr>
      <w:rPr>
        <w:rFonts w:hint="default"/>
      </w:rPr>
    </w:lvl>
    <w:lvl w:ilvl="1">
      <w:start w:val="2"/>
      <w:numFmt w:val="decimal"/>
      <w:lvlText w:val="%1.%2"/>
      <w:lvlJc w:val="left"/>
      <w:pPr>
        <w:ind w:left="828" w:hanging="36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9" w15:restartNumberingAfterBreak="0">
    <w:nsid w:val="37E911C0"/>
    <w:multiLevelType w:val="hybridMultilevel"/>
    <w:tmpl w:val="FA24D2FA"/>
    <w:lvl w:ilvl="0" w:tplc="482C0E5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E84290"/>
    <w:multiLevelType w:val="hybridMultilevel"/>
    <w:tmpl w:val="01986162"/>
    <w:lvl w:ilvl="0" w:tplc="666CD644">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D97029D"/>
    <w:multiLevelType w:val="hybridMultilevel"/>
    <w:tmpl w:val="C1B244CE"/>
    <w:lvl w:ilvl="0" w:tplc="0BFC42F2">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C43461"/>
    <w:multiLevelType w:val="multilevel"/>
    <w:tmpl w:val="DB2CB784"/>
    <w:lvl w:ilvl="0">
      <w:start w:val="2"/>
      <w:numFmt w:val="decimal"/>
      <w:lvlText w:val="%1."/>
      <w:lvlJc w:val="left"/>
      <w:pPr>
        <w:ind w:left="360" w:hanging="360"/>
      </w:pPr>
      <w:rPr>
        <w:rFonts w:hint="default"/>
      </w:rPr>
    </w:lvl>
    <w:lvl w:ilvl="1">
      <w:start w:val="1"/>
      <w:numFmt w:val="decimal"/>
      <w:lvlText w:val="%1.%2."/>
      <w:lvlJc w:val="left"/>
      <w:pPr>
        <w:ind w:left="1608" w:hanging="36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464" w:hanging="720"/>
      </w:pPr>
      <w:rPr>
        <w:rFonts w:hint="default"/>
      </w:rPr>
    </w:lvl>
    <w:lvl w:ilvl="4">
      <w:start w:val="1"/>
      <w:numFmt w:val="decimal"/>
      <w:lvlText w:val="%1.%2.%3.%4.%5."/>
      <w:lvlJc w:val="left"/>
      <w:pPr>
        <w:ind w:left="6072"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928" w:hanging="1440"/>
      </w:pPr>
      <w:rPr>
        <w:rFonts w:hint="default"/>
      </w:rPr>
    </w:lvl>
    <w:lvl w:ilvl="7">
      <w:start w:val="1"/>
      <w:numFmt w:val="decimal"/>
      <w:lvlText w:val="%1.%2.%3.%4.%5.%6.%7.%8."/>
      <w:lvlJc w:val="left"/>
      <w:pPr>
        <w:ind w:left="10176" w:hanging="1440"/>
      </w:pPr>
      <w:rPr>
        <w:rFonts w:hint="default"/>
      </w:rPr>
    </w:lvl>
    <w:lvl w:ilvl="8">
      <w:start w:val="1"/>
      <w:numFmt w:val="decimal"/>
      <w:lvlText w:val="%1.%2.%3.%4.%5.%6.%7.%8.%9."/>
      <w:lvlJc w:val="left"/>
      <w:pPr>
        <w:ind w:left="11784" w:hanging="1800"/>
      </w:pPr>
      <w:rPr>
        <w:rFonts w:hint="default"/>
      </w:rPr>
    </w:lvl>
  </w:abstractNum>
  <w:abstractNum w:abstractNumId="16" w15:restartNumberingAfterBreak="0">
    <w:nsid w:val="5F7C593C"/>
    <w:multiLevelType w:val="multilevel"/>
    <w:tmpl w:val="49521C7A"/>
    <w:lvl w:ilvl="0">
      <w:start w:val="1"/>
      <w:numFmt w:val="decimal"/>
      <w:lvlText w:val="%1."/>
      <w:lvlJc w:val="left"/>
      <w:pPr>
        <w:ind w:left="468" w:hanging="360"/>
      </w:pPr>
      <w:rPr>
        <w:rFonts w:ascii="Times New Roman" w:eastAsia="Calibri" w:hAnsi="Times New Roman" w:cs="Times New Roman"/>
      </w:rPr>
    </w:lvl>
    <w:lvl w:ilvl="1">
      <w:start w:val="1"/>
      <w:numFmt w:val="decimal"/>
      <w:isLgl/>
      <w:lvlText w:val="%2."/>
      <w:lvlJc w:val="left"/>
      <w:pPr>
        <w:ind w:left="828" w:hanging="360"/>
      </w:pPr>
      <w:rPr>
        <w:rFonts w:ascii="Times New Roman" w:eastAsia="Calibri" w:hAnsi="Times New Roman" w:cs="Times New Roman"/>
      </w:rPr>
    </w:lvl>
    <w:lvl w:ilvl="2">
      <w:start w:val="1"/>
      <w:numFmt w:val="decimal"/>
      <w:isLgl/>
      <w:lvlText w:val="%1.%2.%3."/>
      <w:lvlJc w:val="left"/>
      <w:pPr>
        <w:ind w:left="1548"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98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068" w:hanging="1440"/>
      </w:pPr>
      <w:rPr>
        <w:rFonts w:hint="default"/>
      </w:rPr>
    </w:lvl>
    <w:lvl w:ilvl="8">
      <w:start w:val="1"/>
      <w:numFmt w:val="decimal"/>
      <w:isLgl/>
      <w:lvlText w:val="%1.%2.%3.%4.%5.%6.%7.%8.%9."/>
      <w:lvlJc w:val="left"/>
      <w:pPr>
        <w:ind w:left="4788" w:hanging="1800"/>
      </w:pPr>
      <w:rPr>
        <w:rFonts w:hint="default"/>
      </w:rPr>
    </w:lvl>
  </w:abstractNum>
  <w:abstractNum w:abstractNumId="17" w15:restartNumberingAfterBreak="0">
    <w:nsid w:val="634805AB"/>
    <w:multiLevelType w:val="hybridMultilevel"/>
    <w:tmpl w:val="5D46BC44"/>
    <w:lvl w:ilvl="0" w:tplc="B8C6FD12">
      <w:start w:val="10"/>
      <w:numFmt w:val="bullet"/>
      <w:lvlText w:val="-"/>
      <w:lvlJc w:val="left"/>
      <w:pPr>
        <w:ind w:left="828" w:hanging="360"/>
      </w:pPr>
      <w:rPr>
        <w:rFonts w:ascii="Times New Roman" w:eastAsia="Times New Roman"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8" w15:restartNumberingAfterBreak="0">
    <w:nsid w:val="653F7E02"/>
    <w:multiLevelType w:val="multilevel"/>
    <w:tmpl w:val="F24E37DA"/>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971C72"/>
    <w:multiLevelType w:val="hybridMultilevel"/>
    <w:tmpl w:val="281078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7282FD9"/>
    <w:multiLevelType w:val="multilevel"/>
    <w:tmpl w:val="BAA027E8"/>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6830D5"/>
    <w:multiLevelType w:val="hybridMultilevel"/>
    <w:tmpl w:val="7CF2F426"/>
    <w:lvl w:ilvl="0" w:tplc="1E169F36">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5657491"/>
    <w:multiLevelType w:val="hybridMultilevel"/>
    <w:tmpl w:val="935A6326"/>
    <w:lvl w:ilvl="0" w:tplc="FD08CA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9B153DF"/>
    <w:multiLevelType w:val="multilevel"/>
    <w:tmpl w:val="C93A589C"/>
    <w:lvl w:ilvl="0">
      <w:start w:val="2"/>
      <w:numFmt w:val="decimal"/>
      <w:lvlText w:val="%1."/>
      <w:lvlJc w:val="left"/>
      <w:pPr>
        <w:ind w:left="360" w:hanging="360"/>
      </w:pPr>
      <w:rPr>
        <w:rFonts w:hint="default"/>
      </w:rPr>
    </w:lvl>
    <w:lvl w:ilvl="1">
      <w:start w:val="1"/>
      <w:numFmt w:val="decimal"/>
      <w:lvlText w:val="%1.%2."/>
      <w:lvlJc w:val="left"/>
      <w:pPr>
        <w:ind w:left="1188" w:hanging="36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424" w:hanging="1800"/>
      </w:pPr>
      <w:rPr>
        <w:rFonts w:hint="default"/>
      </w:rPr>
    </w:lvl>
  </w:abstractNum>
  <w:num w:numId="1" w16cid:durableId="1281643705">
    <w:abstractNumId w:val="13"/>
  </w:num>
  <w:num w:numId="2" w16cid:durableId="1170173587">
    <w:abstractNumId w:val="1"/>
  </w:num>
  <w:num w:numId="3" w16cid:durableId="1094084223">
    <w:abstractNumId w:val="0"/>
  </w:num>
  <w:num w:numId="4" w16cid:durableId="47189114">
    <w:abstractNumId w:val="16"/>
  </w:num>
  <w:num w:numId="5" w16cid:durableId="594478279">
    <w:abstractNumId w:val="14"/>
  </w:num>
  <w:num w:numId="6" w16cid:durableId="288316852">
    <w:abstractNumId w:val="17"/>
  </w:num>
  <w:num w:numId="7" w16cid:durableId="1330257182">
    <w:abstractNumId w:val="8"/>
  </w:num>
  <w:num w:numId="8" w16cid:durableId="565385459">
    <w:abstractNumId w:val="16"/>
    <w:lvlOverride w:ilvl="0">
      <w:startOverride w:val="2"/>
    </w:lvlOverride>
    <w:lvlOverride w:ilvl="1">
      <w:startOverride w:val="3"/>
    </w:lvlOverride>
  </w:num>
  <w:num w:numId="9" w16cid:durableId="1451123869">
    <w:abstractNumId w:val="23"/>
  </w:num>
  <w:num w:numId="10" w16cid:durableId="1063991719">
    <w:abstractNumId w:val="4"/>
  </w:num>
  <w:num w:numId="11" w16cid:durableId="1876690944">
    <w:abstractNumId w:val="15"/>
  </w:num>
  <w:num w:numId="12" w16cid:durableId="363989686">
    <w:abstractNumId w:val="19"/>
  </w:num>
  <w:num w:numId="13" w16cid:durableId="2123649280">
    <w:abstractNumId w:val="5"/>
  </w:num>
  <w:num w:numId="14" w16cid:durableId="435447315">
    <w:abstractNumId w:val="2"/>
  </w:num>
  <w:num w:numId="15" w16cid:durableId="1354310240">
    <w:abstractNumId w:val="12"/>
  </w:num>
  <w:num w:numId="16" w16cid:durableId="44574002">
    <w:abstractNumId w:val="22"/>
  </w:num>
  <w:num w:numId="17" w16cid:durableId="1586844085">
    <w:abstractNumId w:val="9"/>
  </w:num>
  <w:num w:numId="18" w16cid:durableId="1952125155">
    <w:abstractNumId w:val="11"/>
  </w:num>
  <w:num w:numId="19" w16cid:durableId="1067726356">
    <w:abstractNumId w:val="10"/>
  </w:num>
  <w:num w:numId="20" w16cid:durableId="158809640">
    <w:abstractNumId w:val="9"/>
    <w:lvlOverride w:ilvl="0">
      <w:startOverride w:val="2"/>
    </w:lvlOverride>
  </w:num>
  <w:num w:numId="21" w16cid:durableId="1739551638">
    <w:abstractNumId w:val="9"/>
    <w:lvlOverride w:ilvl="0">
      <w:startOverride w:val="1"/>
    </w:lvlOverride>
  </w:num>
  <w:num w:numId="22" w16cid:durableId="1288464994">
    <w:abstractNumId w:val="21"/>
  </w:num>
  <w:num w:numId="23" w16cid:durableId="1626808472">
    <w:abstractNumId w:val="7"/>
  </w:num>
  <w:num w:numId="24" w16cid:durableId="581642457">
    <w:abstractNumId w:val="20"/>
  </w:num>
  <w:num w:numId="25" w16cid:durableId="836306197">
    <w:abstractNumId w:val="18"/>
  </w:num>
  <w:num w:numId="26" w16cid:durableId="1832015449">
    <w:abstractNumId w:val="3"/>
  </w:num>
  <w:num w:numId="27" w16cid:durableId="966660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05CEC"/>
    <w:rsid w:val="00014396"/>
    <w:rsid w:val="00020BAE"/>
    <w:rsid w:val="0002429A"/>
    <w:rsid w:val="000247C5"/>
    <w:rsid w:val="000307CE"/>
    <w:rsid w:val="000332FE"/>
    <w:rsid w:val="0004241C"/>
    <w:rsid w:val="000465E2"/>
    <w:rsid w:val="00052504"/>
    <w:rsid w:val="00056A15"/>
    <w:rsid w:val="00061196"/>
    <w:rsid w:val="0006380C"/>
    <w:rsid w:val="00074176"/>
    <w:rsid w:val="00077535"/>
    <w:rsid w:val="000866B6"/>
    <w:rsid w:val="00086B64"/>
    <w:rsid w:val="00090679"/>
    <w:rsid w:val="000B1750"/>
    <w:rsid w:val="000B3AEB"/>
    <w:rsid w:val="000C473C"/>
    <w:rsid w:val="000C6E2C"/>
    <w:rsid w:val="000D025C"/>
    <w:rsid w:val="000D242D"/>
    <w:rsid w:val="000D4682"/>
    <w:rsid w:val="000D550C"/>
    <w:rsid w:val="000D7EF9"/>
    <w:rsid w:val="000E3E86"/>
    <w:rsid w:val="000E5B98"/>
    <w:rsid w:val="000F09A7"/>
    <w:rsid w:val="000F13B4"/>
    <w:rsid w:val="000F1759"/>
    <w:rsid w:val="00101067"/>
    <w:rsid w:val="00103343"/>
    <w:rsid w:val="00111C85"/>
    <w:rsid w:val="00112998"/>
    <w:rsid w:val="00112EC9"/>
    <w:rsid w:val="00115003"/>
    <w:rsid w:val="00124C37"/>
    <w:rsid w:val="001335F1"/>
    <w:rsid w:val="00145693"/>
    <w:rsid w:val="00145A42"/>
    <w:rsid w:val="001521C7"/>
    <w:rsid w:val="00152835"/>
    <w:rsid w:val="0015727F"/>
    <w:rsid w:val="00177CC2"/>
    <w:rsid w:val="001808AE"/>
    <w:rsid w:val="00180EB1"/>
    <w:rsid w:val="001813CB"/>
    <w:rsid w:val="001836D4"/>
    <w:rsid w:val="00185FBE"/>
    <w:rsid w:val="00191AE1"/>
    <w:rsid w:val="001959AF"/>
    <w:rsid w:val="001A10F3"/>
    <w:rsid w:val="001A4515"/>
    <w:rsid w:val="001B00BB"/>
    <w:rsid w:val="001B227A"/>
    <w:rsid w:val="001B3C3F"/>
    <w:rsid w:val="001D280F"/>
    <w:rsid w:val="001D6CEF"/>
    <w:rsid w:val="001E7C0A"/>
    <w:rsid w:val="001F59F1"/>
    <w:rsid w:val="00200EC7"/>
    <w:rsid w:val="00201243"/>
    <w:rsid w:val="00202F64"/>
    <w:rsid w:val="002056B3"/>
    <w:rsid w:val="00221AC1"/>
    <w:rsid w:val="002252EB"/>
    <w:rsid w:val="00231228"/>
    <w:rsid w:val="00231460"/>
    <w:rsid w:val="0023192D"/>
    <w:rsid w:val="002320AB"/>
    <w:rsid w:val="0024187A"/>
    <w:rsid w:val="00242ABF"/>
    <w:rsid w:val="0024635A"/>
    <w:rsid w:val="00247F21"/>
    <w:rsid w:val="00253D23"/>
    <w:rsid w:val="00264912"/>
    <w:rsid w:val="00271332"/>
    <w:rsid w:val="00275542"/>
    <w:rsid w:val="00283904"/>
    <w:rsid w:val="00285117"/>
    <w:rsid w:val="00290767"/>
    <w:rsid w:val="00295048"/>
    <w:rsid w:val="00297D4B"/>
    <w:rsid w:val="002A1361"/>
    <w:rsid w:val="002A717C"/>
    <w:rsid w:val="002B1C22"/>
    <w:rsid w:val="002B1FDC"/>
    <w:rsid w:val="002B7CB9"/>
    <w:rsid w:val="002C059E"/>
    <w:rsid w:val="002C51CC"/>
    <w:rsid w:val="002D5A02"/>
    <w:rsid w:val="002E37A2"/>
    <w:rsid w:val="002E3E98"/>
    <w:rsid w:val="00305D6E"/>
    <w:rsid w:val="003139C5"/>
    <w:rsid w:val="00317ABD"/>
    <w:rsid w:val="00320E4A"/>
    <w:rsid w:val="0032529A"/>
    <w:rsid w:val="003270BF"/>
    <w:rsid w:val="0033040D"/>
    <w:rsid w:val="00342351"/>
    <w:rsid w:val="00342927"/>
    <w:rsid w:val="00353FF0"/>
    <w:rsid w:val="00360C29"/>
    <w:rsid w:val="0037003C"/>
    <w:rsid w:val="0037334F"/>
    <w:rsid w:val="0037700A"/>
    <w:rsid w:val="00377EC2"/>
    <w:rsid w:val="00392060"/>
    <w:rsid w:val="00392EE4"/>
    <w:rsid w:val="003A076E"/>
    <w:rsid w:val="003A3E67"/>
    <w:rsid w:val="003A59B2"/>
    <w:rsid w:val="003A753C"/>
    <w:rsid w:val="003B6922"/>
    <w:rsid w:val="003B71C6"/>
    <w:rsid w:val="003C3687"/>
    <w:rsid w:val="003C5A45"/>
    <w:rsid w:val="003D2968"/>
    <w:rsid w:val="003D5757"/>
    <w:rsid w:val="003E2AA8"/>
    <w:rsid w:val="003E3EB2"/>
    <w:rsid w:val="003E6ED1"/>
    <w:rsid w:val="003F071B"/>
    <w:rsid w:val="00403AE8"/>
    <w:rsid w:val="00404A96"/>
    <w:rsid w:val="00410212"/>
    <w:rsid w:val="0041303E"/>
    <w:rsid w:val="00414697"/>
    <w:rsid w:val="00417EE1"/>
    <w:rsid w:val="0042233A"/>
    <w:rsid w:val="004236AC"/>
    <w:rsid w:val="004274F4"/>
    <w:rsid w:val="004324C1"/>
    <w:rsid w:val="00435099"/>
    <w:rsid w:val="0043626C"/>
    <w:rsid w:val="004368D3"/>
    <w:rsid w:val="00441983"/>
    <w:rsid w:val="00445A1E"/>
    <w:rsid w:val="00445CE6"/>
    <w:rsid w:val="0044741F"/>
    <w:rsid w:val="0045540A"/>
    <w:rsid w:val="004564D7"/>
    <w:rsid w:val="00465464"/>
    <w:rsid w:val="00477E0A"/>
    <w:rsid w:val="00497BB9"/>
    <w:rsid w:val="004A0BE3"/>
    <w:rsid w:val="004A1311"/>
    <w:rsid w:val="004A2B35"/>
    <w:rsid w:val="004B4FFA"/>
    <w:rsid w:val="004B62F4"/>
    <w:rsid w:val="004C7992"/>
    <w:rsid w:val="004D25B5"/>
    <w:rsid w:val="004D535C"/>
    <w:rsid w:val="004D5C19"/>
    <w:rsid w:val="004D61A7"/>
    <w:rsid w:val="004D6687"/>
    <w:rsid w:val="004E0DE1"/>
    <w:rsid w:val="004F23CD"/>
    <w:rsid w:val="00503F22"/>
    <w:rsid w:val="00511313"/>
    <w:rsid w:val="00522538"/>
    <w:rsid w:val="00527AF3"/>
    <w:rsid w:val="005314DB"/>
    <w:rsid w:val="00533B93"/>
    <w:rsid w:val="00534D88"/>
    <w:rsid w:val="00534EBC"/>
    <w:rsid w:val="00550A7E"/>
    <w:rsid w:val="00550B86"/>
    <w:rsid w:val="0055646B"/>
    <w:rsid w:val="00570F21"/>
    <w:rsid w:val="005742BE"/>
    <w:rsid w:val="00574E4E"/>
    <w:rsid w:val="00592151"/>
    <w:rsid w:val="00597B30"/>
    <w:rsid w:val="005A2218"/>
    <w:rsid w:val="005A77B5"/>
    <w:rsid w:val="005B24CF"/>
    <w:rsid w:val="005B3BFB"/>
    <w:rsid w:val="005B4B53"/>
    <w:rsid w:val="005C3AAA"/>
    <w:rsid w:val="005C4C90"/>
    <w:rsid w:val="005C4FAC"/>
    <w:rsid w:val="005C53AA"/>
    <w:rsid w:val="005C59F8"/>
    <w:rsid w:val="005C7346"/>
    <w:rsid w:val="005C7665"/>
    <w:rsid w:val="005D0C58"/>
    <w:rsid w:val="005D2D37"/>
    <w:rsid w:val="005E7595"/>
    <w:rsid w:val="005E7D63"/>
    <w:rsid w:val="005F14BF"/>
    <w:rsid w:val="00605F61"/>
    <w:rsid w:val="00622255"/>
    <w:rsid w:val="00637147"/>
    <w:rsid w:val="00646506"/>
    <w:rsid w:val="00652079"/>
    <w:rsid w:val="00652A13"/>
    <w:rsid w:val="00656870"/>
    <w:rsid w:val="006601B1"/>
    <w:rsid w:val="0066045A"/>
    <w:rsid w:val="00660F5D"/>
    <w:rsid w:val="0066144E"/>
    <w:rsid w:val="006625C1"/>
    <w:rsid w:val="006644E6"/>
    <w:rsid w:val="006645A1"/>
    <w:rsid w:val="0066659C"/>
    <w:rsid w:val="00671285"/>
    <w:rsid w:val="00677681"/>
    <w:rsid w:val="00687842"/>
    <w:rsid w:val="00694E2F"/>
    <w:rsid w:val="00695B85"/>
    <w:rsid w:val="006A5456"/>
    <w:rsid w:val="006A6364"/>
    <w:rsid w:val="006C0EDC"/>
    <w:rsid w:val="006C2CC3"/>
    <w:rsid w:val="006C74EC"/>
    <w:rsid w:val="006D516D"/>
    <w:rsid w:val="006E0FF4"/>
    <w:rsid w:val="006E1744"/>
    <w:rsid w:val="006E2F6D"/>
    <w:rsid w:val="006E653F"/>
    <w:rsid w:val="006E6CAF"/>
    <w:rsid w:val="006F21FA"/>
    <w:rsid w:val="00702ACC"/>
    <w:rsid w:val="0071004C"/>
    <w:rsid w:val="0071545F"/>
    <w:rsid w:val="007157D6"/>
    <w:rsid w:val="00724F4D"/>
    <w:rsid w:val="00730F41"/>
    <w:rsid w:val="0074027E"/>
    <w:rsid w:val="00744AC8"/>
    <w:rsid w:val="00745D54"/>
    <w:rsid w:val="00753C95"/>
    <w:rsid w:val="00760137"/>
    <w:rsid w:val="00762EB9"/>
    <w:rsid w:val="007664C1"/>
    <w:rsid w:val="00773B17"/>
    <w:rsid w:val="00775074"/>
    <w:rsid w:val="007750AF"/>
    <w:rsid w:val="007A52CC"/>
    <w:rsid w:val="007A7B77"/>
    <w:rsid w:val="007B3C13"/>
    <w:rsid w:val="007C1081"/>
    <w:rsid w:val="007C7C43"/>
    <w:rsid w:val="007D05D0"/>
    <w:rsid w:val="007D0729"/>
    <w:rsid w:val="007D0C31"/>
    <w:rsid w:val="007D2FEA"/>
    <w:rsid w:val="007E1A50"/>
    <w:rsid w:val="007E3789"/>
    <w:rsid w:val="007E4E86"/>
    <w:rsid w:val="007E649A"/>
    <w:rsid w:val="007E70BE"/>
    <w:rsid w:val="007F34A7"/>
    <w:rsid w:val="007F7607"/>
    <w:rsid w:val="00801536"/>
    <w:rsid w:val="00806C9B"/>
    <w:rsid w:val="008207D7"/>
    <w:rsid w:val="0083140B"/>
    <w:rsid w:val="008317DF"/>
    <w:rsid w:val="008337F0"/>
    <w:rsid w:val="008338E7"/>
    <w:rsid w:val="008350DE"/>
    <w:rsid w:val="008357B4"/>
    <w:rsid w:val="00836FFA"/>
    <w:rsid w:val="00837FBE"/>
    <w:rsid w:val="00841EAF"/>
    <w:rsid w:val="00846737"/>
    <w:rsid w:val="00857C29"/>
    <w:rsid w:val="00863C96"/>
    <w:rsid w:val="00863D72"/>
    <w:rsid w:val="00876041"/>
    <w:rsid w:val="00890807"/>
    <w:rsid w:val="008A0A87"/>
    <w:rsid w:val="008A1299"/>
    <w:rsid w:val="008A16FD"/>
    <w:rsid w:val="008A186E"/>
    <w:rsid w:val="008B4292"/>
    <w:rsid w:val="008B45E5"/>
    <w:rsid w:val="008B7963"/>
    <w:rsid w:val="008B7F16"/>
    <w:rsid w:val="008C5979"/>
    <w:rsid w:val="008C7995"/>
    <w:rsid w:val="008D1782"/>
    <w:rsid w:val="008D2D08"/>
    <w:rsid w:val="008D3730"/>
    <w:rsid w:val="008D52A8"/>
    <w:rsid w:val="008D79A0"/>
    <w:rsid w:val="008E2AA3"/>
    <w:rsid w:val="008F2704"/>
    <w:rsid w:val="008F2D2D"/>
    <w:rsid w:val="008F4836"/>
    <w:rsid w:val="00901E22"/>
    <w:rsid w:val="0090619D"/>
    <w:rsid w:val="00910948"/>
    <w:rsid w:val="00912557"/>
    <w:rsid w:val="009127D6"/>
    <w:rsid w:val="00916AFC"/>
    <w:rsid w:val="0091791C"/>
    <w:rsid w:val="00920F04"/>
    <w:rsid w:val="00922943"/>
    <w:rsid w:val="00923E8A"/>
    <w:rsid w:val="00924CAB"/>
    <w:rsid w:val="00924E75"/>
    <w:rsid w:val="00931E74"/>
    <w:rsid w:val="0093252E"/>
    <w:rsid w:val="009360F4"/>
    <w:rsid w:val="0094036E"/>
    <w:rsid w:val="00941A0F"/>
    <w:rsid w:val="0094247B"/>
    <w:rsid w:val="00951316"/>
    <w:rsid w:val="00962103"/>
    <w:rsid w:val="00970D56"/>
    <w:rsid w:val="00976B8C"/>
    <w:rsid w:val="00992ED2"/>
    <w:rsid w:val="00995778"/>
    <w:rsid w:val="009A06EC"/>
    <w:rsid w:val="009A29D9"/>
    <w:rsid w:val="009B4B13"/>
    <w:rsid w:val="009B720E"/>
    <w:rsid w:val="009C2041"/>
    <w:rsid w:val="009C28E6"/>
    <w:rsid w:val="009C33DE"/>
    <w:rsid w:val="009D18E7"/>
    <w:rsid w:val="009E4953"/>
    <w:rsid w:val="009E5A85"/>
    <w:rsid w:val="009E5AD2"/>
    <w:rsid w:val="009E6128"/>
    <w:rsid w:val="009F3B00"/>
    <w:rsid w:val="009F7295"/>
    <w:rsid w:val="009F72AD"/>
    <w:rsid w:val="00A00565"/>
    <w:rsid w:val="00A00CC7"/>
    <w:rsid w:val="00A2175A"/>
    <w:rsid w:val="00A24128"/>
    <w:rsid w:val="00A24636"/>
    <w:rsid w:val="00A30569"/>
    <w:rsid w:val="00A41579"/>
    <w:rsid w:val="00A442D5"/>
    <w:rsid w:val="00A51BAB"/>
    <w:rsid w:val="00A527E8"/>
    <w:rsid w:val="00A57740"/>
    <w:rsid w:val="00A60811"/>
    <w:rsid w:val="00A61C97"/>
    <w:rsid w:val="00A64F23"/>
    <w:rsid w:val="00A67E06"/>
    <w:rsid w:val="00A7075D"/>
    <w:rsid w:val="00A835C7"/>
    <w:rsid w:val="00A8649C"/>
    <w:rsid w:val="00A93989"/>
    <w:rsid w:val="00AA1E48"/>
    <w:rsid w:val="00AA5775"/>
    <w:rsid w:val="00AA6268"/>
    <w:rsid w:val="00AA6FED"/>
    <w:rsid w:val="00AB10ED"/>
    <w:rsid w:val="00AB1CC2"/>
    <w:rsid w:val="00AC58EA"/>
    <w:rsid w:val="00AC7107"/>
    <w:rsid w:val="00AD02C9"/>
    <w:rsid w:val="00AD4214"/>
    <w:rsid w:val="00AE3ADE"/>
    <w:rsid w:val="00AE5724"/>
    <w:rsid w:val="00AF011B"/>
    <w:rsid w:val="00AF37EF"/>
    <w:rsid w:val="00B009D5"/>
    <w:rsid w:val="00B0780C"/>
    <w:rsid w:val="00B13B04"/>
    <w:rsid w:val="00B20F39"/>
    <w:rsid w:val="00B266E8"/>
    <w:rsid w:val="00B26800"/>
    <w:rsid w:val="00B3065E"/>
    <w:rsid w:val="00B37ECD"/>
    <w:rsid w:val="00B44EE3"/>
    <w:rsid w:val="00B46CF9"/>
    <w:rsid w:val="00B51B4E"/>
    <w:rsid w:val="00B62656"/>
    <w:rsid w:val="00B71E0E"/>
    <w:rsid w:val="00B7384A"/>
    <w:rsid w:val="00B7459B"/>
    <w:rsid w:val="00B82D5E"/>
    <w:rsid w:val="00B90F60"/>
    <w:rsid w:val="00B96966"/>
    <w:rsid w:val="00BA2579"/>
    <w:rsid w:val="00BA6EB6"/>
    <w:rsid w:val="00BB0684"/>
    <w:rsid w:val="00BC3366"/>
    <w:rsid w:val="00BC366A"/>
    <w:rsid w:val="00BC386F"/>
    <w:rsid w:val="00BD0E1E"/>
    <w:rsid w:val="00BD39DC"/>
    <w:rsid w:val="00BE6759"/>
    <w:rsid w:val="00BE6977"/>
    <w:rsid w:val="00BE7E2C"/>
    <w:rsid w:val="00BF2537"/>
    <w:rsid w:val="00BF500A"/>
    <w:rsid w:val="00C02E03"/>
    <w:rsid w:val="00C14843"/>
    <w:rsid w:val="00C17A10"/>
    <w:rsid w:val="00C26773"/>
    <w:rsid w:val="00C306B6"/>
    <w:rsid w:val="00C33CA9"/>
    <w:rsid w:val="00C34DED"/>
    <w:rsid w:val="00C369E0"/>
    <w:rsid w:val="00C44113"/>
    <w:rsid w:val="00C54F3F"/>
    <w:rsid w:val="00C55DFE"/>
    <w:rsid w:val="00C60BF1"/>
    <w:rsid w:val="00C71BE8"/>
    <w:rsid w:val="00C71E7E"/>
    <w:rsid w:val="00C84289"/>
    <w:rsid w:val="00C92C19"/>
    <w:rsid w:val="00C9311C"/>
    <w:rsid w:val="00C945FD"/>
    <w:rsid w:val="00CA50E7"/>
    <w:rsid w:val="00CA517B"/>
    <w:rsid w:val="00CA5C31"/>
    <w:rsid w:val="00CA6CDA"/>
    <w:rsid w:val="00CA7135"/>
    <w:rsid w:val="00CB58BF"/>
    <w:rsid w:val="00CD08B3"/>
    <w:rsid w:val="00CD0F15"/>
    <w:rsid w:val="00CF159D"/>
    <w:rsid w:val="00CF3AA3"/>
    <w:rsid w:val="00CF4121"/>
    <w:rsid w:val="00D001BD"/>
    <w:rsid w:val="00D0406B"/>
    <w:rsid w:val="00D07C24"/>
    <w:rsid w:val="00D173D4"/>
    <w:rsid w:val="00D209F3"/>
    <w:rsid w:val="00D21C1E"/>
    <w:rsid w:val="00D31279"/>
    <w:rsid w:val="00D32438"/>
    <w:rsid w:val="00D3363B"/>
    <w:rsid w:val="00D43373"/>
    <w:rsid w:val="00D5089E"/>
    <w:rsid w:val="00D57270"/>
    <w:rsid w:val="00D73F42"/>
    <w:rsid w:val="00D77942"/>
    <w:rsid w:val="00D80F33"/>
    <w:rsid w:val="00D86D86"/>
    <w:rsid w:val="00D8799D"/>
    <w:rsid w:val="00DA1AAD"/>
    <w:rsid w:val="00DA370D"/>
    <w:rsid w:val="00DA3EBB"/>
    <w:rsid w:val="00DA4582"/>
    <w:rsid w:val="00DA5376"/>
    <w:rsid w:val="00DA7015"/>
    <w:rsid w:val="00DC215B"/>
    <w:rsid w:val="00DC3019"/>
    <w:rsid w:val="00DD175B"/>
    <w:rsid w:val="00DD2EFA"/>
    <w:rsid w:val="00DD608F"/>
    <w:rsid w:val="00DE58D5"/>
    <w:rsid w:val="00DE635B"/>
    <w:rsid w:val="00DF6D8F"/>
    <w:rsid w:val="00E043A2"/>
    <w:rsid w:val="00E12497"/>
    <w:rsid w:val="00E130E4"/>
    <w:rsid w:val="00E16EA2"/>
    <w:rsid w:val="00E238A7"/>
    <w:rsid w:val="00E26BD7"/>
    <w:rsid w:val="00E27496"/>
    <w:rsid w:val="00E35B6B"/>
    <w:rsid w:val="00E371C0"/>
    <w:rsid w:val="00E44639"/>
    <w:rsid w:val="00E4719C"/>
    <w:rsid w:val="00E5305A"/>
    <w:rsid w:val="00E53430"/>
    <w:rsid w:val="00E60B5A"/>
    <w:rsid w:val="00E66723"/>
    <w:rsid w:val="00E74C81"/>
    <w:rsid w:val="00E74E14"/>
    <w:rsid w:val="00E75F91"/>
    <w:rsid w:val="00E83B75"/>
    <w:rsid w:val="00E84268"/>
    <w:rsid w:val="00E84476"/>
    <w:rsid w:val="00E94916"/>
    <w:rsid w:val="00EA0B66"/>
    <w:rsid w:val="00EA2AB3"/>
    <w:rsid w:val="00EA49E8"/>
    <w:rsid w:val="00EA4C8E"/>
    <w:rsid w:val="00EC2947"/>
    <w:rsid w:val="00ED0A1E"/>
    <w:rsid w:val="00ED0CBE"/>
    <w:rsid w:val="00EE069B"/>
    <w:rsid w:val="00EE4585"/>
    <w:rsid w:val="00EE5F77"/>
    <w:rsid w:val="00EF26FC"/>
    <w:rsid w:val="00EF64DF"/>
    <w:rsid w:val="00EF73E9"/>
    <w:rsid w:val="00F0027D"/>
    <w:rsid w:val="00F020D8"/>
    <w:rsid w:val="00F03254"/>
    <w:rsid w:val="00F03507"/>
    <w:rsid w:val="00F11B34"/>
    <w:rsid w:val="00F21B70"/>
    <w:rsid w:val="00F22BE0"/>
    <w:rsid w:val="00F2312E"/>
    <w:rsid w:val="00F23500"/>
    <w:rsid w:val="00F25D14"/>
    <w:rsid w:val="00F26277"/>
    <w:rsid w:val="00F27950"/>
    <w:rsid w:val="00F33351"/>
    <w:rsid w:val="00F344CA"/>
    <w:rsid w:val="00F3547F"/>
    <w:rsid w:val="00F37F37"/>
    <w:rsid w:val="00F53163"/>
    <w:rsid w:val="00F57BCC"/>
    <w:rsid w:val="00F619FD"/>
    <w:rsid w:val="00F679BD"/>
    <w:rsid w:val="00F71038"/>
    <w:rsid w:val="00F83424"/>
    <w:rsid w:val="00F8558C"/>
    <w:rsid w:val="00F858C3"/>
    <w:rsid w:val="00F862FF"/>
    <w:rsid w:val="00F872AD"/>
    <w:rsid w:val="00F87882"/>
    <w:rsid w:val="00F94179"/>
    <w:rsid w:val="00F96EC9"/>
    <w:rsid w:val="00FA7F43"/>
    <w:rsid w:val="00FB1276"/>
    <w:rsid w:val="00FB2795"/>
    <w:rsid w:val="00FB405D"/>
    <w:rsid w:val="00FC28A9"/>
    <w:rsid w:val="00FC5245"/>
    <w:rsid w:val="00FD3BB7"/>
    <w:rsid w:val="00FD5D59"/>
    <w:rsid w:val="00FE2DF4"/>
    <w:rsid w:val="00FF0B40"/>
    <w:rsid w:val="00FF4F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bidi="en-US"/>
    </w:rPr>
  </w:style>
  <w:style w:type="paragraph" w:styleId="Heading1">
    <w:name w:val="heading 1"/>
    <w:basedOn w:val="Normal"/>
    <w:next w:val="Normal"/>
    <w:link w:val="Heading1Char"/>
    <w:autoRedefine/>
    <w:qFormat/>
    <w:rsid w:val="003A076E"/>
    <w:pPr>
      <w:keepNext/>
      <w:spacing w:before="240" w:after="240"/>
      <w:jc w:val="center"/>
      <w:outlineLvl w:val="0"/>
    </w:pPr>
    <w:rPr>
      <w:rFonts w:eastAsiaTheme="majorEastAsia" w:cstheme="majorBidi"/>
      <w:b/>
      <w:bCs/>
      <w:kern w:val="32"/>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076E"/>
    <w:rPr>
      <w:rFonts w:ascii="Times New Roman" w:eastAsiaTheme="majorEastAsia" w:hAnsi="Times New Roman" w:cstheme="majorBidi"/>
      <w:b/>
      <w:bCs/>
      <w:kern w:val="32"/>
      <w:sz w:val="24"/>
      <w:szCs w:val="24"/>
      <w:lang w:val="en-GB"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
    <w:basedOn w:val="Normal"/>
    <w:link w:val="ListParagraphChar"/>
    <w:autoRedefine/>
    <w:uiPriority w:val="34"/>
    <w:qFormat/>
    <w:rsid w:val="00A93989"/>
    <w:pPr>
      <w:spacing w:after="160" w:line="259" w:lineRule="auto"/>
      <w:contextualSpacing/>
    </w:pPr>
    <w:rPr>
      <w:rFonts w:eastAsia="Calibri"/>
      <w:i/>
      <w:iCs/>
      <w:shd w:val="clear" w:color="auto" w:fill="FFFFFF"/>
    </w:r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en-GB"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GB"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GB" w:bidi="en-US"/>
    </w:rPr>
  </w:style>
  <w:style w:type="paragraph" w:styleId="FootnoteText">
    <w:name w:val="footnote text"/>
    <w:basedOn w:val="Normal"/>
    <w:link w:val="FootnoteTextChar"/>
    <w:uiPriority w:val="99"/>
    <w:unhideWhenUsed/>
    <w:rsid w:val="00342351"/>
    <w:rPr>
      <w:rFonts w:eastAsia="Calibri"/>
      <w:sz w:val="20"/>
      <w:szCs w:val="20"/>
      <w:lang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en-GB"/>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F03254"/>
    <w:pPr>
      <w:tabs>
        <w:tab w:val="right" w:leader="dot" w:pos="9890"/>
      </w:tabs>
      <w:spacing w:after="10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GB"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GB"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A93989"/>
    <w:rPr>
      <w:rFonts w:ascii="Times New Roman" w:eastAsia="Calibri" w:hAnsi="Times New Roman" w:cs="Times New Roman"/>
      <w:i/>
      <w:iCs/>
      <w:sz w:val="24"/>
      <w:szCs w:val="24"/>
      <w:lang w:val="en-GB"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eastAsia="lv-LV" w:bidi="ar-SA"/>
    </w:rPr>
  </w:style>
  <w:style w:type="paragraph" w:customStyle="1" w:styleId="tv213">
    <w:name w:val="tv213"/>
    <w:basedOn w:val="Normal"/>
    <w:rsid w:val="00E66723"/>
    <w:pPr>
      <w:spacing w:before="100" w:beforeAutospacing="1" w:after="100" w:afterAutospacing="1"/>
      <w:jc w:val="left"/>
    </w:pPr>
    <w:rPr>
      <w:lang w:eastAsia="lv-LV" w:bidi="ar-SA"/>
    </w:rPr>
  </w:style>
  <w:style w:type="character" w:styleId="FollowedHyperlink">
    <w:name w:val="FollowedHyperlink"/>
    <w:basedOn w:val="DefaultParagraphFont"/>
    <w:uiPriority w:val="99"/>
    <w:semiHidden/>
    <w:unhideWhenUsed/>
    <w:rsid w:val="003E3E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756832103">
      <w:bodyDiv w:val="1"/>
      <w:marLeft w:val="0"/>
      <w:marRight w:val="0"/>
      <w:marTop w:val="0"/>
      <w:marBottom w:val="0"/>
      <w:divBdr>
        <w:top w:val="none" w:sz="0" w:space="0" w:color="auto"/>
        <w:left w:val="none" w:sz="0" w:space="0" w:color="auto"/>
        <w:bottom w:val="none" w:sz="0" w:space="0" w:color="auto"/>
        <w:right w:val="none" w:sz="0" w:space="0" w:color="auto"/>
      </w:divBdr>
    </w:div>
    <w:div w:id="1194424295">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FD35F6569754809BCF39A6DA99C4BB1"/>
        <w:category>
          <w:name w:val="General"/>
          <w:gallery w:val="placeholder"/>
        </w:category>
        <w:types>
          <w:type w:val="bbPlcHdr"/>
        </w:types>
        <w:behaviors>
          <w:behavior w:val="content"/>
        </w:behaviors>
        <w:guid w:val="{37C7630C-00B0-46A4-BF8C-62193E667E3F}"/>
      </w:docPartPr>
      <w:docPartBody>
        <w:p w:rsidR="00636BC5" w:rsidRDefault="001D4BC8" w:rsidP="001D4BC8">
          <w:pPr>
            <w:pStyle w:val="9FD35F6569754809BCF39A6DA99C4BB1"/>
          </w:pPr>
          <w:r>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E66A7F09379544018F5B8A7CDE508A18"/>
        <w:category>
          <w:name w:val="General"/>
          <w:gallery w:val="placeholder"/>
        </w:category>
        <w:types>
          <w:type w:val="bbPlcHdr"/>
        </w:types>
        <w:behaviors>
          <w:behavior w:val="content"/>
        </w:behaviors>
        <w:guid w:val="{965553BA-A644-4DE8-A7D0-C1C068B36F5E}"/>
      </w:docPartPr>
      <w:docPartBody>
        <w:p w:rsidR="00636BC5" w:rsidRDefault="001D4BC8" w:rsidP="001D4BC8">
          <w:pPr>
            <w:pStyle w:val="E66A7F09379544018F5B8A7CDE508A18"/>
          </w:pPr>
          <w:r>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
      <w:docPartPr>
        <w:name w:val="66EA4A0BE54B461BA3EF51B168849BEE"/>
        <w:category>
          <w:name w:val="General"/>
          <w:gallery w:val="placeholder"/>
        </w:category>
        <w:types>
          <w:type w:val="bbPlcHdr"/>
        </w:types>
        <w:behaviors>
          <w:behavior w:val="content"/>
        </w:behaviors>
        <w:guid w:val="{6CC0E92E-6191-4636-8315-407604B4C022}"/>
      </w:docPartPr>
      <w:docPartBody>
        <w:p w:rsidR="00D27646" w:rsidRDefault="00D71CE3" w:rsidP="00D71CE3">
          <w:pPr>
            <w:pStyle w:val="66EA4A0BE54B461BA3EF51B168849BEE"/>
          </w:pPr>
          <w:r w:rsidRPr="003B1738">
            <w:rPr>
              <w:rStyle w:val="PlaceholderText"/>
            </w:rPr>
            <w:t>Click or tap here to enter text.</w:t>
          </w:r>
        </w:p>
      </w:docPartBody>
    </w:docPart>
    <w:docPart>
      <w:docPartPr>
        <w:name w:val="F3225BBDF12445C3A16F822795417012"/>
        <w:category>
          <w:name w:val="General"/>
          <w:gallery w:val="placeholder"/>
        </w:category>
        <w:types>
          <w:type w:val="bbPlcHdr"/>
        </w:types>
        <w:behaviors>
          <w:behavior w:val="content"/>
        </w:behaviors>
        <w:guid w:val="{08619893-0156-46F7-9F80-BCDDF28E8FAF}"/>
      </w:docPartPr>
      <w:docPartBody>
        <w:p w:rsidR="006B7271" w:rsidRDefault="006B7271" w:rsidP="006B7271">
          <w:pPr>
            <w:pStyle w:val="F3225BBDF12445C3A16F82279541701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35334"/>
    <w:rsid w:val="000465E2"/>
    <w:rsid w:val="0008508D"/>
    <w:rsid w:val="000E5B98"/>
    <w:rsid w:val="00145370"/>
    <w:rsid w:val="001D4BC8"/>
    <w:rsid w:val="001F59F1"/>
    <w:rsid w:val="00200EC7"/>
    <w:rsid w:val="00244A56"/>
    <w:rsid w:val="0024635A"/>
    <w:rsid w:val="002C6689"/>
    <w:rsid w:val="0039495F"/>
    <w:rsid w:val="003B0D98"/>
    <w:rsid w:val="003D4181"/>
    <w:rsid w:val="00417EE1"/>
    <w:rsid w:val="004D21F8"/>
    <w:rsid w:val="004D51FF"/>
    <w:rsid w:val="00516BF0"/>
    <w:rsid w:val="00570B9B"/>
    <w:rsid w:val="005947E6"/>
    <w:rsid w:val="005C7346"/>
    <w:rsid w:val="005D0C58"/>
    <w:rsid w:val="005F0468"/>
    <w:rsid w:val="005F14BF"/>
    <w:rsid w:val="00636BC5"/>
    <w:rsid w:val="006B7271"/>
    <w:rsid w:val="007361FB"/>
    <w:rsid w:val="007364D4"/>
    <w:rsid w:val="0077157D"/>
    <w:rsid w:val="00775074"/>
    <w:rsid w:val="007C1081"/>
    <w:rsid w:val="007E2D5C"/>
    <w:rsid w:val="007E649A"/>
    <w:rsid w:val="0080576C"/>
    <w:rsid w:val="00814528"/>
    <w:rsid w:val="008338E7"/>
    <w:rsid w:val="00875FE8"/>
    <w:rsid w:val="008A1D4C"/>
    <w:rsid w:val="008D355B"/>
    <w:rsid w:val="00923E22"/>
    <w:rsid w:val="009A0381"/>
    <w:rsid w:val="009A75B2"/>
    <w:rsid w:val="00A613B8"/>
    <w:rsid w:val="00A86C95"/>
    <w:rsid w:val="00AC7107"/>
    <w:rsid w:val="00AD5878"/>
    <w:rsid w:val="00B85833"/>
    <w:rsid w:val="00B94FA5"/>
    <w:rsid w:val="00BA6EB6"/>
    <w:rsid w:val="00BE7E2C"/>
    <w:rsid w:val="00BF500A"/>
    <w:rsid w:val="00C33CA9"/>
    <w:rsid w:val="00C55CC5"/>
    <w:rsid w:val="00C55DFE"/>
    <w:rsid w:val="00D104B0"/>
    <w:rsid w:val="00D15E2B"/>
    <w:rsid w:val="00D27646"/>
    <w:rsid w:val="00D3363B"/>
    <w:rsid w:val="00D71CE3"/>
    <w:rsid w:val="00DD7514"/>
    <w:rsid w:val="00E1094E"/>
    <w:rsid w:val="00E55AB5"/>
    <w:rsid w:val="00E910F3"/>
    <w:rsid w:val="00F52A6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E22"/>
  </w:style>
  <w:style w:type="paragraph" w:customStyle="1" w:styleId="9FD35F6569754809BCF39A6DA99C4BB1">
    <w:name w:val="9FD35F6569754809BCF39A6DA99C4BB1"/>
    <w:rsid w:val="001D4BC8"/>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08BBB927DD494D5BA478064A10E458C0">
    <w:name w:val="08BBB927DD494D5BA478064A10E458C0"/>
    <w:rsid w:val="00D71CE3"/>
  </w:style>
  <w:style w:type="paragraph" w:customStyle="1" w:styleId="66EA4A0BE54B461BA3EF51B168849BEE">
    <w:name w:val="66EA4A0BE54B461BA3EF51B168849BEE"/>
    <w:rsid w:val="00D71CE3"/>
  </w:style>
  <w:style w:type="paragraph" w:customStyle="1" w:styleId="F3225BBDF12445C3A16F822795417012">
    <w:name w:val="F3225BBDF12445C3A16F822795417012"/>
    <w:rsid w:val="006B727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D784E-7DDD-410D-B663-0A53011D4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15</Pages>
  <Words>30954</Words>
  <Characters>17644</Characters>
  <Application>Microsoft Office Word</Application>
  <DocSecurity>0</DocSecurity>
  <Lines>147</Lines>
  <Paragraphs>97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Reviser</cp:lastModifiedBy>
  <cp:revision>95</cp:revision>
  <cp:lastPrinted>2025-08-20T08:16:00Z</cp:lastPrinted>
  <dcterms:created xsi:type="dcterms:W3CDTF">2024-09-09T14:15:00Z</dcterms:created>
  <dcterms:modified xsi:type="dcterms:W3CDTF">2025-09-24T07:02:00Z</dcterms:modified>
</cp:coreProperties>
</file>