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2456" w14:textId="77777777" w:rsidR="001B511A" w:rsidRPr="007A55A2" w:rsidRDefault="001B511A" w:rsidP="001B511A">
      <w:pPr>
        <w:spacing w:before="720" w:after="360"/>
        <w:jc w:val="center"/>
        <w:rPr>
          <w:rFonts w:ascii="Times New Roman" w:hAnsi="Times New Roman" w:cs="Times New Roman"/>
          <w:b/>
          <w:bCs/>
          <w:color w:val="000000" w:themeColor="text1"/>
          <w:lang w:val="lv-LV"/>
        </w:rPr>
      </w:pPr>
      <w:r w:rsidRPr="007A55A2">
        <w:rPr>
          <w:rFonts w:ascii="Times New Roman" w:hAnsi="Times New Roman" w:cs="Times New Roman"/>
          <w:b/>
          <w:bCs/>
          <w:noProof/>
          <w:color w:val="000000" w:themeColor="text1"/>
          <w:lang w:val="lv-LV"/>
        </w:rPr>
        <w:drawing>
          <wp:inline distT="0" distB="0" distL="0" distR="0" wp14:anchorId="67FA4D11" wp14:editId="6DE83868">
            <wp:extent cx="2476627" cy="1549480"/>
            <wp:effectExtent l="0" t="0" r="0" b="0"/>
            <wp:docPr id="1461896253" name="Picture 14" descr="A logo with a lion and two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96253" name="Picture 14" descr="A logo with a lion and two lion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76627" cy="1549480"/>
                    </a:xfrm>
                    <a:prstGeom prst="rect">
                      <a:avLst/>
                    </a:prstGeom>
                  </pic:spPr>
                </pic:pic>
              </a:graphicData>
            </a:graphic>
          </wp:inline>
        </w:drawing>
      </w:r>
    </w:p>
    <w:p w14:paraId="79C25418" w14:textId="77777777" w:rsidR="001B511A" w:rsidRPr="007A55A2" w:rsidRDefault="001B511A" w:rsidP="008163B8">
      <w:pPr>
        <w:spacing w:before="1200" w:after="840"/>
        <w:rPr>
          <w:rFonts w:ascii="Times New Roman" w:hAnsi="Times New Roman" w:cs="Times New Roman"/>
          <w:b/>
          <w:bCs/>
          <w:color w:val="000000" w:themeColor="text1"/>
          <w:sz w:val="48"/>
          <w:szCs w:val="48"/>
          <w:lang w:val="lv-LV"/>
        </w:rPr>
      </w:pPr>
    </w:p>
    <w:p w14:paraId="3F67E17D" w14:textId="1B43BDA1" w:rsidR="00691F78" w:rsidRPr="00E43246" w:rsidRDefault="00691F78" w:rsidP="001B511A">
      <w:pPr>
        <w:spacing w:before="720" w:after="360"/>
        <w:jc w:val="center"/>
        <w:rPr>
          <w:rFonts w:ascii="Times New Roman" w:hAnsi="Times New Roman" w:cs="Times New Roman"/>
          <w:b/>
          <w:bCs/>
          <w:color w:val="000000" w:themeColor="text1"/>
          <w:sz w:val="40"/>
          <w:szCs w:val="40"/>
          <w:lang w:val="lv-LV"/>
        </w:rPr>
      </w:pPr>
      <w:r w:rsidRPr="00E43246">
        <w:rPr>
          <w:rFonts w:ascii="Times New Roman" w:hAnsi="Times New Roman" w:cs="Times New Roman"/>
          <w:b/>
          <w:bCs/>
          <w:color w:val="000000" w:themeColor="text1"/>
          <w:sz w:val="40"/>
          <w:szCs w:val="40"/>
          <w:lang w:val="lv-LV"/>
        </w:rPr>
        <w:t>N</w:t>
      </w:r>
      <w:r w:rsidR="00621EC9" w:rsidRPr="00E43246">
        <w:rPr>
          <w:rFonts w:ascii="Times New Roman" w:hAnsi="Times New Roman" w:cs="Times New Roman"/>
          <w:b/>
          <w:bCs/>
          <w:color w:val="000000" w:themeColor="text1"/>
          <w:sz w:val="40"/>
          <w:szCs w:val="40"/>
          <w:lang w:val="lv-LV"/>
        </w:rPr>
        <w:t>ovērtējums par n</w:t>
      </w:r>
      <w:r w:rsidRPr="00E43246">
        <w:rPr>
          <w:rFonts w:ascii="Times New Roman" w:hAnsi="Times New Roman" w:cs="Times New Roman"/>
          <w:b/>
          <w:bCs/>
          <w:color w:val="000000" w:themeColor="text1"/>
          <w:sz w:val="40"/>
          <w:szCs w:val="40"/>
          <w:lang w:val="lv-LV"/>
        </w:rPr>
        <w:t>etiešo izmaksu apmēr</w:t>
      </w:r>
      <w:r w:rsidR="00621EC9" w:rsidRPr="00E43246">
        <w:rPr>
          <w:rFonts w:ascii="Times New Roman" w:hAnsi="Times New Roman" w:cs="Times New Roman"/>
          <w:b/>
          <w:bCs/>
          <w:color w:val="000000" w:themeColor="text1"/>
          <w:sz w:val="40"/>
          <w:szCs w:val="40"/>
          <w:lang w:val="lv-LV"/>
        </w:rPr>
        <w:t>u</w:t>
      </w:r>
      <w:r w:rsidRPr="00E43246">
        <w:rPr>
          <w:rFonts w:ascii="Times New Roman" w:hAnsi="Times New Roman" w:cs="Times New Roman"/>
          <w:b/>
          <w:bCs/>
          <w:color w:val="000000" w:themeColor="text1"/>
          <w:sz w:val="40"/>
          <w:szCs w:val="40"/>
          <w:lang w:val="lv-LV"/>
        </w:rPr>
        <w:t xml:space="preserve"> </w:t>
      </w:r>
      <w:r w:rsidR="00E43246">
        <w:rPr>
          <w:rFonts w:ascii="Times New Roman" w:hAnsi="Times New Roman" w:cs="Times New Roman"/>
          <w:b/>
          <w:bCs/>
          <w:color w:val="000000" w:themeColor="text1"/>
          <w:sz w:val="40"/>
          <w:szCs w:val="40"/>
          <w:lang w:val="lv-LV"/>
        </w:rPr>
        <w:t>v</w:t>
      </w:r>
      <w:r w:rsidRPr="00E43246">
        <w:rPr>
          <w:rFonts w:ascii="Times New Roman" w:hAnsi="Times New Roman" w:cs="Times New Roman"/>
          <w:b/>
          <w:bCs/>
          <w:color w:val="000000" w:themeColor="text1"/>
          <w:sz w:val="40"/>
          <w:szCs w:val="40"/>
          <w:lang w:val="lv-LV"/>
        </w:rPr>
        <w:t>alsts pētījumu programmās salīdzinājumā ar cit</w:t>
      </w:r>
      <w:r w:rsidR="00F6730E" w:rsidRPr="00E43246">
        <w:rPr>
          <w:rFonts w:ascii="Times New Roman" w:hAnsi="Times New Roman" w:cs="Times New Roman"/>
          <w:b/>
          <w:bCs/>
          <w:color w:val="000000" w:themeColor="text1"/>
          <w:sz w:val="40"/>
          <w:szCs w:val="40"/>
          <w:lang w:val="lv-LV"/>
        </w:rPr>
        <w:t>ie</w:t>
      </w:r>
      <w:r w:rsidRPr="00E43246">
        <w:rPr>
          <w:rFonts w:ascii="Times New Roman" w:hAnsi="Times New Roman" w:cs="Times New Roman"/>
          <w:b/>
          <w:bCs/>
          <w:color w:val="000000" w:themeColor="text1"/>
          <w:sz w:val="40"/>
          <w:szCs w:val="40"/>
          <w:lang w:val="lv-LV"/>
        </w:rPr>
        <w:t xml:space="preserve">m </w:t>
      </w:r>
      <w:r w:rsidR="00507996" w:rsidRPr="00E43246">
        <w:rPr>
          <w:rFonts w:ascii="Times New Roman" w:hAnsi="Times New Roman" w:cs="Times New Roman"/>
          <w:b/>
          <w:bCs/>
          <w:color w:val="000000" w:themeColor="text1"/>
          <w:sz w:val="40"/>
          <w:szCs w:val="40"/>
          <w:lang w:val="lv-LV"/>
        </w:rPr>
        <w:t>Latvijā īstenot</w:t>
      </w:r>
      <w:r w:rsidR="009B230F" w:rsidRPr="00E43246">
        <w:rPr>
          <w:rFonts w:ascii="Times New Roman" w:hAnsi="Times New Roman" w:cs="Times New Roman"/>
          <w:b/>
          <w:bCs/>
          <w:color w:val="000000" w:themeColor="text1"/>
          <w:sz w:val="40"/>
          <w:szCs w:val="40"/>
          <w:lang w:val="lv-LV"/>
        </w:rPr>
        <w:t>iem</w:t>
      </w:r>
      <w:r w:rsidR="001B511A" w:rsidRPr="00E43246">
        <w:rPr>
          <w:rFonts w:ascii="Times New Roman" w:hAnsi="Times New Roman" w:cs="Times New Roman"/>
          <w:b/>
          <w:bCs/>
          <w:color w:val="000000" w:themeColor="text1"/>
          <w:sz w:val="40"/>
          <w:szCs w:val="40"/>
          <w:lang w:val="lv-LV"/>
        </w:rPr>
        <w:t xml:space="preserve"> </w:t>
      </w:r>
      <w:r w:rsidRPr="00E43246">
        <w:rPr>
          <w:rFonts w:ascii="Times New Roman" w:hAnsi="Times New Roman" w:cs="Times New Roman"/>
          <w:b/>
          <w:bCs/>
          <w:color w:val="000000" w:themeColor="text1"/>
          <w:sz w:val="40"/>
          <w:szCs w:val="40"/>
          <w:lang w:val="lv-LV"/>
        </w:rPr>
        <w:t>pētījumu programm</w:t>
      </w:r>
      <w:r w:rsidR="009B230F" w:rsidRPr="00E43246">
        <w:rPr>
          <w:rFonts w:ascii="Times New Roman" w:hAnsi="Times New Roman" w:cs="Times New Roman"/>
          <w:b/>
          <w:bCs/>
          <w:color w:val="000000" w:themeColor="text1"/>
          <w:sz w:val="40"/>
          <w:szCs w:val="40"/>
          <w:lang w:val="lv-LV"/>
        </w:rPr>
        <w:t>u un projektu veidiem</w:t>
      </w:r>
    </w:p>
    <w:p w14:paraId="6698ACCF" w14:textId="77777777" w:rsidR="001B511A" w:rsidRPr="007A55A2" w:rsidRDefault="001B511A" w:rsidP="001B511A">
      <w:pPr>
        <w:spacing w:before="720" w:after="360"/>
        <w:jc w:val="center"/>
        <w:rPr>
          <w:rFonts w:ascii="Times New Roman" w:hAnsi="Times New Roman" w:cs="Times New Roman"/>
          <w:b/>
          <w:bCs/>
          <w:color w:val="000000" w:themeColor="text1"/>
          <w:sz w:val="48"/>
          <w:szCs w:val="48"/>
          <w:lang w:val="lv-LV"/>
        </w:rPr>
      </w:pPr>
    </w:p>
    <w:p w14:paraId="14630343" w14:textId="77777777" w:rsidR="001B511A" w:rsidRPr="007A55A2" w:rsidRDefault="001B511A" w:rsidP="001B511A">
      <w:pPr>
        <w:spacing w:before="720" w:after="360"/>
        <w:jc w:val="center"/>
        <w:rPr>
          <w:rFonts w:ascii="Times New Roman" w:hAnsi="Times New Roman" w:cs="Times New Roman"/>
          <w:b/>
          <w:bCs/>
          <w:color w:val="000000" w:themeColor="text1"/>
          <w:sz w:val="48"/>
          <w:szCs w:val="48"/>
          <w:lang w:val="lv-LV"/>
        </w:rPr>
      </w:pPr>
    </w:p>
    <w:p w14:paraId="528B6A61" w14:textId="1C2F97F9" w:rsidR="001B511A" w:rsidRPr="007A55A2" w:rsidRDefault="001B511A" w:rsidP="00252AF9">
      <w:pPr>
        <w:spacing w:before="720" w:after="360"/>
        <w:jc w:val="center"/>
        <w:rPr>
          <w:rFonts w:ascii="Times New Roman" w:hAnsi="Times New Roman" w:cs="Times New Roman"/>
          <w:color w:val="000000" w:themeColor="text1"/>
          <w:sz w:val="32"/>
          <w:szCs w:val="32"/>
          <w:lang w:val="lv-LV"/>
        </w:rPr>
      </w:pPr>
      <w:r w:rsidRPr="007A55A2">
        <w:rPr>
          <w:rFonts w:ascii="Times New Roman" w:hAnsi="Times New Roman" w:cs="Times New Roman"/>
          <w:color w:val="000000" w:themeColor="text1"/>
          <w:sz w:val="32"/>
          <w:szCs w:val="32"/>
          <w:lang w:val="lv-LV"/>
        </w:rPr>
        <w:t>Rīga, 202</w:t>
      </w:r>
      <w:r w:rsidR="00E43246">
        <w:rPr>
          <w:rFonts w:ascii="Times New Roman" w:hAnsi="Times New Roman" w:cs="Times New Roman"/>
          <w:color w:val="000000" w:themeColor="text1"/>
          <w:sz w:val="32"/>
          <w:szCs w:val="32"/>
          <w:lang w:val="lv-LV"/>
        </w:rPr>
        <w:t>5</w:t>
      </w:r>
      <w:r w:rsidRPr="007A55A2">
        <w:rPr>
          <w:rFonts w:ascii="Times New Roman" w:hAnsi="Times New Roman" w:cs="Times New Roman"/>
          <w:color w:val="000000" w:themeColor="text1"/>
          <w:lang w:val="lv-LV"/>
        </w:rPr>
        <w:br w:type="page"/>
      </w:r>
    </w:p>
    <w:p w14:paraId="673CC3E2" w14:textId="34B23792" w:rsidR="00657A0A" w:rsidRPr="007A55A2" w:rsidRDefault="007F2ACE" w:rsidP="00E43246">
      <w:pPr>
        <w:spacing w:before="720"/>
        <w:ind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lastRenderedPageBreak/>
        <w:t xml:space="preserve">Finansējot </w:t>
      </w:r>
      <w:r w:rsidR="003E316D" w:rsidRPr="007A55A2">
        <w:rPr>
          <w:rFonts w:ascii="Times New Roman" w:hAnsi="Times New Roman" w:cs="Times New Roman"/>
          <w:color w:val="000000" w:themeColor="text1"/>
          <w:lang w:val="lv-LV"/>
        </w:rPr>
        <w:t>pētnieciskos projektus, tradicionāli</w:t>
      </w:r>
      <w:r w:rsidR="00EE2AD8" w:rsidRPr="007A55A2">
        <w:rPr>
          <w:rFonts w:ascii="Times New Roman" w:hAnsi="Times New Roman" w:cs="Times New Roman"/>
          <w:color w:val="000000" w:themeColor="text1"/>
          <w:lang w:val="lv-LV"/>
        </w:rPr>
        <w:t xml:space="preserve"> projektu izmaksas sadalās tiešajās attiecināmajās </w:t>
      </w:r>
      <w:r w:rsidR="00641EDB" w:rsidRPr="007A55A2">
        <w:rPr>
          <w:rFonts w:ascii="Times New Roman" w:hAnsi="Times New Roman" w:cs="Times New Roman"/>
          <w:color w:val="000000" w:themeColor="text1"/>
          <w:lang w:val="lv-LV"/>
        </w:rPr>
        <w:t xml:space="preserve">izmaksās (turpmāk – tiešās izmaksas) </w:t>
      </w:r>
      <w:r w:rsidR="00CD44AF" w:rsidRPr="007A55A2">
        <w:rPr>
          <w:rFonts w:ascii="Times New Roman" w:hAnsi="Times New Roman" w:cs="Times New Roman"/>
          <w:color w:val="000000" w:themeColor="text1"/>
          <w:lang w:val="lv-LV"/>
        </w:rPr>
        <w:t>un netieš</w:t>
      </w:r>
      <w:r w:rsidR="003736EF" w:rsidRPr="007A55A2">
        <w:rPr>
          <w:rFonts w:ascii="Times New Roman" w:hAnsi="Times New Roman" w:cs="Times New Roman"/>
          <w:color w:val="000000" w:themeColor="text1"/>
          <w:lang w:val="lv-LV"/>
        </w:rPr>
        <w:t>aj</w:t>
      </w:r>
      <w:r w:rsidR="00CD44AF" w:rsidRPr="007A55A2">
        <w:rPr>
          <w:rFonts w:ascii="Times New Roman" w:hAnsi="Times New Roman" w:cs="Times New Roman"/>
          <w:color w:val="000000" w:themeColor="text1"/>
          <w:lang w:val="lv-LV"/>
        </w:rPr>
        <w:t>ās attiecinām</w:t>
      </w:r>
      <w:r w:rsidR="003736EF" w:rsidRPr="007A55A2">
        <w:rPr>
          <w:rFonts w:ascii="Times New Roman" w:hAnsi="Times New Roman" w:cs="Times New Roman"/>
          <w:color w:val="000000" w:themeColor="text1"/>
          <w:lang w:val="lv-LV"/>
        </w:rPr>
        <w:t>aj</w:t>
      </w:r>
      <w:r w:rsidR="00CD44AF" w:rsidRPr="007A55A2">
        <w:rPr>
          <w:rFonts w:ascii="Times New Roman" w:hAnsi="Times New Roman" w:cs="Times New Roman"/>
          <w:color w:val="000000" w:themeColor="text1"/>
          <w:lang w:val="lv-LV"/>
        </w:rPr>
        <w:t>ās izmaksās</w:t>
      </w:r>
      <w:r w:rsidR="007F6F64" w:rsidRPr="007A55A2">
        <w:rPr>
          <w:rFonts w:ascii="Times New Roman" w:hAnsi="Times New Roman" w:cs="Times New Roman"/>
          <w:color w:val="000000" w:themeColor="text1"/>
          <w:lang w:val="lv-LV"/>
        </w:rPr>
        <w:t xml:space="preserve"> (turpmāk – netiešās izmaksas)</w:t>
      </w:r>
      <w:r w:rsidR="00CD44AF" w:rsidRPr="007A55A2">
        <w:rPr>
          <w:rFonts w:ascii="Times New Roman" w:hAnsi="Times New Roman" w:cs="Times New Roman"/>
          <w:color w:val="000000" w:themeColor="text1"/>
          <w:lang w:val="lv-LV"/>
        </w:rPr>
        <w:t xml:space="preserve">. </w:t>
      </w:r>
      <w:r w:rsidR="00787404" w:rsidRPr="007A55A2">
        <w:rPr>
          <w:rFonts w:ascii="Times New Roman" w:hAnsi="Times New Roman" w:cs="Times New Roman"/>
          <w:color w:val="000000" w:themeColor="text1"/>
          <w:lang w:val="lv-LV"/>
        </w:rPr>
        <w:t>T</w:t>
      </w:r>
      <w:r w:rsidR="00CD44AF" w:rsidRPr="007A55A2">
        <w:rPr>
          <w:rFonts w:ascii="Times New Roman" w:hAnsi="Times New Roman" w:cs="Times New Roman"/>
          <w:color w:val="000000" w:themeColor="text1"/>
          <w:lang w:val="lv-LV"/>
        </w:rPr>
        <w:t xml:space="preserve">iešās </w:t>
      </w:r>
      <w:r w:rsidR="0077672A" w:rsidRPr="007A55A2">
        <w:rPr>
          <w:rFonts w:ascii="Times New Roman" w:hAnsi="Times New Roman" w:cs="Times New Roman"/>
          <w:color w:val="000000" w:themeColor="text1"/>
          <w:lang w:val="lv-LV"/>
        </w:rPr>
        <w:t xml:space="preserve">izmaksas sedz zinātniskās grupas locekļu atlīdzības izmaksas, </w:t>
      </w:r>
      <w:r w:rsidR="00787404" w:rsidRPr="007A55A2">
        <w:rPr>
          <w:rFonts w:ascii="Times New Roman" w:hAnsi="Times New Roman" w:cs="Times New Roman"/>
          <w:color w:val="000000" w:themeColor="text1"/>
          <w:lang w:val="lv-LV"/>
        </w:rPr>
        <w:t xml:space="preserve">projekta īstenošanai nepieciešamā inventāra, instrumentu un materiālu iegādes, piegādes un amortizācijas izmaksas, pakalpojumu izmaksas, komandējumu izmaksas. </w:t>
      </w:r>
      <w:r w:rsidR="00237A07" w:rsidRPr="007A55A2">
        <w:rPr>
          <w:rFonts w:ascii="Times New Roman" w:hAnsi="Times New Roman" w:cs="Times New Roman"/>
          <w:color w:val="000000" w:themeColor="text1"/>
          <w:lang w:val="lv-LV"/>
        </w:rPr>
        <w:t xml:space="preserve">Savukārt netiešās izmaksas </w:t>
      </w:r>
      <w:r w:rsidR="00573BAF" w:rsidRPr="007A55A2">
        <w:rPr>
          <w:rFonts w:ascii="Times New Roman" w:hAnsi="Times New Roman" w:cs="Times New Roman"/>
          <w:color w:val="000000" w:themeColor="text1"/>
          <w:lang w:val="lv-LV"/>
        </w:rPr>
        <w:t xml:space="preserve">nav tieši saistītas ar </w:t>
      </w:r>
      <w:r w:rsidR="006A679F" w:rsidRPr="007A55A2">
        <w:rPr>
          <w:rFonts w:ascii="Times New Roman" w:hAnsi="Times New Roman" w:cs="Times New Roman"/>
          <w:color w:val="000000" w:themeColor="text1"/>
          <w:lang w:val="lv-LV"/>
        </w:rPr>
        <w:t xml:space="preserve">projekta īstenošanu un </w:t>
      </w:r>
      <w:r w:rsidR="00573BAF" w:rsidRPr="007A55A2">
        <w:rPr>
          <w:rFonts w:ascii="Times New Roman" w:hAnsi="Times New Roman" w:cs="Times New Roman"/>
          <w:color w:val="000000" w:themeColor="text1"/>
          <w:lang w:val="lv-LV"/>
        </w:rPr>
        <w:t>projekta rezultātu sasniegšanu, bet atbalsta un nodrošina atbilstošus apstākļus projekta ietvaros atbalstāmo darbību īstenošanai</w:t>
      </w:r>
      <w:r w:rsidR="006A679F" w:rsidRPr="007A55A2">
        <w:rPr>
          <w:rFonts w:ascii="Times New Roman" w:hAnsi="Times New Roman" w:cs="Times New Roman"/>
          <w:color w:val="000000" w:themeColor="text1"/>
          <w:lang w:val="lv-LV"/>
        </w:rPr>
        <w:t xml:space="preserve">. Kā netiešo izmaksu </w:t>
      </w:r>
      <w:r w:rsidR="005B49A3" w:rsidRPr="007A55A2">
        <w:rPr>
          <w:rFonts w:ascii="Times New Roman" w:hAnsi="Times New Roman" w:cs="Times New Roman"/>
          <w:color w:val="000000" w:themeColor="text1"/>
          <w:lang w:val="lv-LV"/>
        </w:rPr>
        <w:t>piemērus var minēt</w:t>
      </w:r>
      <w:r w:rsidR="006275D5" w:rsidRPr="007A55A2">
        <w:rPr>
          <w:rFonts w:ascii="Times New Roman" w:hAnsi="Times New Roman" w:cs="Times New Roman"/>
          <w:color w:val="000000" w:themeColor="text1"/>
          <w:lang w:val="lv-LV"/>
        </w:rPr>
        <w:t xml:space="preserve">: </w:t>
      </w:r>
      <w:r w:rsidR="00CD44AF" w:rsidRPr="007A55A2">
        <w:rPr>
          <w:rFonts w:ascii="Times New Roman" w:hAnsi="Times New Roman" w:cs="Times New Roman"/>
          <w:color w:val="000000" w:themeColor="text1"/>
          <w:lang w:val="lv-LV"/>
        </w:rPr>
        <w:t>komunāl</w:t>
      </w:r>
      <w:r w:rsidR="003736EF" w:rsidRPr="007A55A2">
        <w:rPr>
          <w:rFonts w:ascii="Times New Roman" w:hAnsi="Times New Roman" w:cs="Times New Roman"/>
          <w:color w:val="000000" w:themeColor="text1"/>
          <w:lang w:val="lv-LV"/>
        </w:rPr>
        <w:t>os</w:t>
      </w:r>
      <w:r w:rsidR="00CD44AF" w:rsidRPr="007A55A2">
        <w:rPr>
          <w:rFonts w:ascii="Times New Roman" w:hAnsi="Times New Roman" w:cs="Times New Roman"/>
          <w:color w:val="000000" w:themeColor="text1"/>
          <w:lang w:val="lv-LV"/>
        </w:rPr>
        <w:t xml:space="preserve"> maksājum</w:t>
      </w:r>
      <w:r w:rsidR="003736EF" w:rsidRPr="007A55A2">
        <w:rPr>
          <w:rFonts w:ascii="Times New Roman" w:hAnsi="Times New Roman" w:cs="Times New Roman"/>
          <w:color w:val="000000" w:themeColor="text1"/>
          <w:lang w:val="lv-LV"/>
        </w:rPr>
        <w:t>us</w:t>
      </w:r>
      <w:r w:rsidR="00CD44AF" w:rsidRPr="007A55A2">
        <w:rPr>
          <w:rFonts w:ascii="Times New Roman" w:hAnsi="Times New Roman" w:cs="Times New Roman"/>
          <w:color w:val="000000" w:themeColor="text1"/>
          <w:lang w:val="lv-LV"/>
        </w:rPr>
        <w:t>, t.sk. elektroenerģija, telpu īre, noma, ūdensapgāde un kanalizācija, apkure (siltumenerģija) un gāze, atkritumu izvešan</w:t>
      </w:r>
      <w:r w:rsidR="003736EF" w:rsidRPr="007A55A2">
        <w:rPr>
          <w:rFonts w:ascii="Times New Roman" w:hAnsi="Times New Roman" w:cs="Times New Roman"/>
          <w:color w:val="000000" w:themeColor="text1"/>
          <w:lang w:val="lv-LV"/>
        </w:rPr>
        <w:t>u</w:t>
      </w:r>
      <w:r w:rsidR="00CD44AF" w:rsidRPr="007A55A2">
        <w:rPr>
          <w:rFonts w:ascii="Times New Roman" w:hAnsi="Times New Roman" w:cs="Times New Roman"/>
          <w:color w:val="000000" w:themeColor="text1"/>
          <w:lang w:val="lv-LV"/>
        </w:rPr>
        <w:t>; sakaru pakalpojum</w:t>
      </w:r>
      <w:r w:rsidR="003736EF" w:rsidRPr="007A55A2">
        <w:rPr>
          <w:rFonts w:ascii="Times New Roman" w:hAnsi="Times New Roman" w:cs="Times New Roman"/>
          <w:color w:val="000000" w:themeColor="text1"/>
          <w:lang w:val="lv-LV"/>
        </w:rPr>
        <w:t>us</w:t>
      </w:r>
      <w:r w:rsidR="00CD44AF" w:rsidRPr="007A55A2">
        <w:rPr>
          <w:rFonts w:ascii="Times New Roman" w:hAnsi="Times New Roman" w:cs="Times New Roman"/>
          <w:color w:val="000000" w:themeColor="text1"/>
          <w:lang w:val="lv-LV"/>
        </w:rPr>
        <w:t xml:space="preserve"> (pasts, internets, telefona sakari u.c.); biroja izdevum</w:t>
      </w:r>
      <w:r w:rsidR="003736EF" w:rsidRPr="007A55A2">
        <w:rPr>
          <w:rFonts w:ascii="Times New Roman" w:hAnsi="Times New Roman" w:cs="Times New Roman"/>
          <w:color w:val="000000" w:themeColor="text1"/>
          <w:lang w:val="lv-LV"/>
        </w:rPr>
        <w:t>us</w:t>
      </w:r>
      <w:r w:rsidR="00CD44AF" w:rsidRPr="007A55A2">
        <w:rPr>
          <w:rFonts w:ascii="Times New Roman" w:hAnsi="Times New Roman" w:cs="Times New Roman"/>
          <w:color w:val="000000" w:themeColor="text1"/>
          <w:lang w:val="lv-LV"/>
        </w:rPr>
        <w:t xml:space="preserve"> (kancelejas preces, datorpreces, kopēšanas pakalpojumi u.c.); kopējās lietošanas iekārtu uzturēšanas un apkopes izmaksas; telpu, tai skaitā koplietošanas, uzturēšanas izdevum</w:t>
      </w:r>
      <w:r w:rsidR="003736EF" w:rsidRPr="007A55A2">
        <w:rPr>
          <w:rFonts w:ascii="Times New Roman" w:hAnsi="Times New Roman" w:cs="Times New Roman"/>
          <w:color w:val="000000" w:themeColor="text1"/>
          <w:lang w:val="lv-LV"/>
        </w:rPr>
        <w:t>us</w:t>
      </w:r>
      <w:r w:rsidR="00CD44AF" w:rsidRPr="007A55A2">
        <w:rPr>
          <w:rFonts w:ascii="Times New Roman" w:hAnsi="Times New Roman" w:cs="Times New Roman"/>
          <w:color w:val="000000" w:themeColor="text1"/>
          <w:lang w:val="lv-LV"/>
        </w:rPr>
        <w:t>; saimniecības materiāli; transporta izdevum</w:t>
      </w:r>
      <w:r w:rsidR="003736EF" w:rsidRPr="007A55A2">
        <w:rPr>
          <w:rFonts w:ascii="Times New Roman" w:hAnsi="Times New Roman" w:cs="Times New Roman"/>
          <w:color w:val="000000" w:themeColor="text1"/>
          <w:lang w:val="lv-LV"/>
        </w:rPr>
        <w:t>us</w:t>
      </w:r>
      <w:r w:rsidR="00CD44AF" w:rsidRPr="007A55A2">
        <w:rPr>
          <w:rFonts w:ascii="Times New Roman" w:hAnsi="Times New Roman" w:cs="Times New Roman"/>
          <w:color w:val="000000" w:themeColor="text1"/>
          <w:lang w:val="lv-LV"/>
        </w:rPr>
        <w:t>; apsardze; apkalpojošā personāla un administrācijas atlīdzība</w:t>
      </w:r>
      <w:r w:rsidR="003736EF" w:rsidRPr="007A55A2">
        <w:rPr>
          <w:rFonts w:ascii="Times New Roman" w:hAnsi="Times New Roman" w:cs="Times New Roman"/>
          <w:color w:val="000000" w:themeColor="text1"/>
          <w:lang w:val="lv-LV"/>
        </w:rPr>
        <w:t>s</w:t>
      </w:r>
      <w:r w:rsidR="000D10DE" w:rsidRPr="007A55A2">
        <w:rPr>
          <w:rFonts w:ascii="Times New Roman" w:hAnsi="Times New Roman" w:cs="Times New Roman"/>
          <w:color w:val="000000" w:themeColor="text1"/>
          <w:lang w:val="lv-LV"/>
        </w:rPr>
        <w:t xml:space="preserve"> (</w:t>
      </w:r>
      <w:r w:rsidR="000D10DE" w:rsidRPr="007A55A2">
        <w:rPr>
          <w:rFonts w:ascii="Times New Roman" w:hAnsi="Times New Roman" w:cs="Times New Roman"/>
          <w:i/>
          <w:iCs/>
          <w:color w:val="000000" w:themeColor="text1"/>
          <w:lang w:val="lv-LV"/>
        </w:rPr>
        <w:t>šo uzskaitījumu nevar uzskatīt par izsmeļošu!</w:t>
      </w:r>
      <w:r w:rsidR="000D10DE" w:rsidRPr="007A55A2">
        <w:rPr>
          <w:rFonts w:ascii="Times New Roman" w:hAnsi="Times New Roman" w:cs="Times New Roman"/>
          <w:color w:val="000000" w:themeColor="text1"/>
          <w:lang w:val="lv-LV"/>
        </w:rPr>
        <w:t>)</w:t>
      </w:r>
      <w:r w:rsidR="00632879" w:rsidRPr="007A55A2">
        <w:rPr>
          <w:rFonts w:ascii="Times New Roman" w:hAnsi="Times New Roman" w:cs="Times New Roman"/>
          <w:color w:val="000000" w:themeColor="text1"/>
          <w:lang w:val="lv-LV"/>
        </w:rPr>
        <w:t xml:space="preserve">. </w:t>
      </w:r>
      <w:r w:rsidR="003736EF" w:rsidRPr="007A55A2">
        <w:rPr>
          <w:rFonts w:ascii="Times New Roman" w:hAnsi="Times New Roman" w:cs="Times New Roman"/>
          <w:color w:val="000000" w:themeColor="text1"/>
          <w:lang w:val="lv-LV"/>
        </w:rPr>
        <w:t>V</w:t>
      </w:r>
      <w:r w:rsidR="00657A0A" w:rsidRPr="007A55A2">
        <w:rPr>
          <w:rFonts w:ascii="Times New Roman" w:hAnsi="Times New Roman" w:cs="Times New Roman"/>
          <w:color w:val="000000" w:themeColor="text1"/>
          <w:lang w:val="lv-LV"/>
        </w:rPr>
        <w:t xml:space="preserve">isbiežāk </w:t>
      </w:r>
      <w:r w:rsidR="00632879" w:rsidRPr="007A55A2">
        <w:rPr>
          <w:rFonts w:ascii="Times New Roman" w:hAnsi="Times New Roman" w:cs="Times New Roman"/>
          <w:color w:val="000000" w:themeColor="text1"/>
          <w:lang w:val="lv-LV"/>
        </w:rPr>
        <w:t xml:space="preserve">netiešās </w:t>
      </w:r>
      <w:r w:rsidR="00296924" w:rsidRPr="007A55A2">
        <w:rPr>
          <w:rFonts w:ascii="Times New Roman" w:hAnsi="Times New Roman" w:cs="Times New Roman"/>
          <w:color w:val="000000" w:themeColor="text1"/>
          <w:lang w:val="lv-LV"/>
        </w:rPr>
        <w:t xml:space="preserve">izmaksas </w:t>
      </w:r>
      <w:r w:rsidR="005E3BB4" w:rsidRPr="007A55A2">
        <w:rPr>
          <w:rFonts w:ascii="Times New Roman" w:hAnsi="Times New Roman" w:cs="Times New Roman"/>
          <w:color w:val="000000" w:themeColor="text1"/>
          <w:lang w:val="lv-LV"/>
        </w:rPr>
        <w:t xml:space="preserve">tiek </w:t>
      </w:r>
      <w:r w:rsidR="003736EF" w:rsidRPr="007A55A2">
        <w:rPr>
          <w:rFonts w:ascii="Times New Roman" w:hAnsi="Times New Roman" w:cs="Times New Roman"/>
          <w:color w:val="000000" w:themeColor="text1"/>
          <w:lang w:val="lv-LV"/>
        </w:rPr>
        <w:t>aprēķinātas</w:t>
      </w:r>
      <w:r w:rsidR="00A672F1" w:rsidRPr="007A55A2">
        <w:rPr>
          <w:rFonts w:ascii="Times New Roman" w:hAnsi="Times New Roman" w:cs="Times New Roman"/>
          <w:color w:val="000000" w:themeColor="text1"/>
          <w:lang w:val="lv-LV"/>
        </w:rPr>
        <w:t xml:space="preserve"> vienā no trīs veidiem</w:t>
      </w:r>
      <w:r w:rsidR="003736EF" w:rsidRPr="007A55A2">
        <w:rPr>
          <w:rFonts w:ascii="Times New Roman" w:hAnsi="Times New Roman" w:cs="Times New Roman"/>
          <w:color w:val="000000" w:themeColor="text1"/>
          <w:lang w:val="lv-LV"/>
        </w:rPr>
        <w:t xml:space="preserve"> </w:t>
      </w:r>
      <w:r w:rsidR="00657A0A" w:rsidRPr="007A55A2">
        <w:rPr>
          <w:rFonts w:ascii="Times New Roman" w:hAnsi="Times New Roman" w:cs="Times New Roman"/>
          <w:color w:val="000000" w:themeColor="text1"/>
          <w:lang w:val="lv-LV"/>
        </w:rPr>
        <w:t xml:space="preserve">kā noteikta </w:t>
      </w:r>
      <w:r w:rsidR="00524FB8" w:rsidRPr="007A55A2">
        <w:rPr>
          <w:rFonts w:ascii="Times New Roman" w:hAnsi="Times New Roman" w:cs="Times New Roman"/>
          <w:color w:val="000000" w:themeColor="text1"/>
          <w:lang w:val="lv-LV"/>
        </w:rPr>
        <w:t xml:space="preserve">izmaksu </w:t>
      </w:r>
      <w:r w:rsidR="00657A0A" w:rsidRPr="007A55A2">
        <w:rPr>
          <w:rFonts w:ascii="Times New Roman" w:hAnsi="Times New Roman" w:cs="Times New Roman"/>
          <w:color w:val="000000" w:themeColor="text1"/>
          <w:lang w:val="lv-LV"/>
        </w:rPr>
        <w:t>daļa</w:t>
      </w:r>
      <w:r w:rsidR="003736EF" w:rsidRPr="007A55A2">
        <w:rPr>
          <w:rFonts w:ascii="Times New Roman" w:hAnsi="Times New Roman" w:cs="Times New Roman"/>
          <w:color w:val="000000" w:themeColor="text1"/>
          <w:lang w:val="lv-LV"/>
        </w:rPr>
        <w:t xml:space="preserve"> no visa projekta</w:t>
      </w:r>
      <w:r w:rsidR="00657A0A" w:rsidRPr="007A55A2">
        <w:rPr>
          <w:rFonts w:ascii="Times New Roman" w:hAnsi="Times New Roman" w:cs="Times New Roman"/>
          <w:color w:val="000000" w:themeColor="text1"/>
          <w:lang w:val="lv-LV"/>
        </w:rPr>
        <w:t>:</w:t>
      </w:r>
    </w:p>
    <w:p w14:paraId="5C6B49C4" w14:textId="5F389A64" w:rsidR="00657A0A" w:rsidRPr="007A55A2" w:rsidRDefault="005E3BB4" w:rsidP="009031DF">
      <w:pPr>
        <w:pStyle w:val="ListParagraph"/>
        <w:numPr>
          <w:ilvl w:val="0"/>
          <w:numId w:val="9"/>
        </w:numPr>
        <w:ind w:left="1134"/>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tiešajām izmaksām</w:t>
      </w:r>
      <w:r w:rsidR="00B5516E" w:rsidRPr="007A55A2">
        <w:rPr>
          <w:rFonts w:ascii="Times New Roman" w:hAnsi="Times New Roman" w:cs="Times New Roman"/>
          <w:color w:val="000000" w:themeColor="text1"/>
          <w:lang w:val="lv-LV"/>
        </w:rPr>
        <w:t xml:space="preserve">, </w:t>
      </w:r>
    </w:p>
    <w:p w14:paraId="3B13FC85" w14:textId="28BEE99B" w:rsidR="00657A0A" w:rsidRPr="007A55A2" w:rsidRDefault="00B5516E" w:rsidP="009031DF">
      <w:pPr>
        <w:pStyle w:val="ListParagraph"/>
        <w:numPr>
          <w:ilvl w:val="0"/>
          <w:numId w:val="9"/>
        </w:numPr>
        <w:ind w:left="1134"/>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tiešajām izmaksām, no kurām ir izslēgtas ārpakalpojumu un līdzīgas izmaksas</w:t>
      </w:r>
      <w:r w:rsidR="00FB496A" w:rsidRPr="007A55A2">
        <w:rPr>
          <w:rFonts w:ascii="Times New Roman" w:hAnsi="Times New Roman" w:cs="Times New Roman"/>
          <w:color w:val="000000" w:themeColor="text1"/>
          <w:lang w:val="lv-LV"/>
        </w:rPr>
        <w:t xml:space="preserve"> (šo </w:t>
      </w:r>
      <w:r w:rsidR="00FA66FB" w:rsidRPr="007A55A2">
        <w:rPr>
          <w:rFonts w:ascii="Times New Roman" w:hAnsi="Times New Roman" w:cs="Times New Roman"/>
          <w:color w:val="000000" w:themeColor="text1"/>
          <w:lang w:val="lv-LV"/>
        </w:rPr>
        <w:t xml:space="preserve">izslēdzamo </w:t>
      </w:r>
      <w:r w:rsidR="00FB496A" w:rsidRPr="007A55A2">
        <w:rPr>
          <w:rFonts w:ascii="Times New Roman" w:hAnsi="Times New Roman" w:cs="Times New Roman"/>
          <w:color w:val="000000" w:themeColor="text1"/>
          <w:lang w:val="lv-LV"/>
        </w:rPr>
        <w:t>izmaksu formulējums var atšķirties)</w:t>
      </w:r>
      <w:r w:rsidRPr="007A55A2">
        <w:rPr>
          <w:rFonts w:ascii="Times New Roman" w:hAnsi="Times New Roman" w:cs="Times New Roman"/>
          <w:color w:val="000000" w:themeColor="text1"/>
          <w:lang w:val="lv-LV"/>
        </w:rPr>
        <w:t xml:space="preserve">, </w:t>
      </w:r>
    </w:p>
    <w:p w14:paraId="0D3F7747" w14:textId="1813533C" w:rsidR="00657A0A" w:rsidRPr="007A55A2" w:rsidRDefault="00D2547F" w:rsidP="009031DF">
      <w:pPr>
        <w:pStyle w:val="ListParagraph"/>
        <w:numPr>
          <w:ilvl w:val="0"/>
          <w:numId w:val="9"/>
        </w:numPr>
        <w:ind w:left="1134"/>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atsevišķas </w:t>
      </w:r>
      <w:r w:rsidR="00594BF4" w:rsidRPr="007A55A2">
        <w:rPr>
          <w:rFonts w:ascii="Times New Roman" w:hAnsi="Times New Roman" w:cs="Times New Roman"/>
          <w:color w:val="000000" w:themeColor="text1"/>
          <w:lang w:val="lv-LV"/>
        </w:rPr>
        <w:t xml:space="preserve">tiešo izmaksu </w:t>
      </w:r>
      <w:r w:rsidR="00F308C1" w:rsidRPr="007A55A2">
        <w:rPr>
          <w:rFonts w:ascii="Times New Roman" w:hAnsi="Times New Roman" w:cs="Times New Roman"/>
          <w:color w:val="000000" w:themeColor="text1"/>
          <w:lang w:val="lv-LV"/>
        </w:rPr>
        <w:t xml:space="preserve">daļas - </w:t>
      </w:r>
      <w:r w:rsidR="00B5516E" w:rsidRPr="007A55A2">
        <w:rPr>
          <w:rFonts w:ascii="Times New Roman" w:hAnsi="Times New Roman" w:cs="Times New Roman"/>
          <w:color w:val="000000" w:themeColor="text1"/>
          <w:lang w:val="lv-LV"/>
        </w:rPr>
        <w:t>atlīdzības izmaks</w:t>
      </w:r>
      <w:r w:rsidR="00FA66FB" w:rsidRPr="007A55A2">
        <w:rPr>
          <w:rFonts w:ascii="Times New Roman" w:hAnsi="Times New Roman" w:cs="Times New Roman"/>
          <w:color w:val="000000" w:themeColor="text1"/>
          <w:lang w:val="lv-LV"/>
        </w:rPr>
        <w:t>ām</w:t>
      </w:r>
      <w:r w:rsidR="00594BF4" w:rsidRPr="007A55A2">
        <w:rPr>
          <w:rFonts w:ascii="Times New Roman" w:hAnsi="Times New Roman" w:cs="Times New Roman"/>
          <w:color w:val="000000" w:themeColor="text1"/>
          <w:lang w:val="lv-LV"/>
        </w:rPr>
        <w:t xml:space="preserve">. </w:t>
      </w:r>
    </w:p>
    <w:p w14:paraId="133D725B" w14:textId="5CBF4235" w:rsidR="00CD44AF" w:rsidRPr="007A55A2" w:rsidRDefault="00ED5AC0" w:rsidP="009031DF">
      <w:pPr>
        <w:ind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Jāatzīmē, ka nosakot netiešās izmaksas kā daļu no atlīdzības izmaksām</w:t>
      </w:r>
      <w:r w:rsidR="003736EF" w:rsidRPr="007A55A2">
        <w:rPr>
          <w:rFonts w:ascii="Times New Roman" w:hAnsi="Times New Roman" w:cs="Times New Roman"/>
          <w:color w:val="000000" w:themeColor="text1"/>
          <w:lang w:val="lv-LV"/>
        </w:rPr>
        <w:t>,</w:t>
      </w:r>
      <w:r w:rsidRPr="007A55A2">
        <w:rPr>
          <w:rFonts w:ascii="Times New Roman" w:hAnsi="Times New Roman" w:cs="Times New Roman"/>
          <w:color w:val="000000" w:themeColor="text1"/>
          <w:lang w:val="lv-LV"/>
        </w:rPr>
        <w:t xml:space="preserve"> </w:t>
      </w:r>
      <w:r w:rsidR="003736EF" w:rsidRPr="007A55A2">
        <w:rPr>
          <w:rFonts w:ascii="Times New Roman" w:hAnsi="Times New Roman" w:cs="Times New Roman"/>
          <w:color w:val="000000" w:themeColor="text1"/>
          <w:lang w:val="lv-LV"/>
        </w:rPr>
        <w:t xml:space="preserve">jau pēc būtības no netiešajām izmaksām </w:t>
      </w:r>
      <w:r w:rsidRPr="007A55A2">
        <w:rPr>
          <w:rFonts w:ascii="Times New Roman" w:hAnsi="Times New Roman" w:cs="Times New Roman"/>
          <w:color w:val="000000" w:themeColor="text1"/>
          <w:lang w:val="lv-LV"/>
        </w:rPr>
        <w:t>tiek izslēgtas ārējo pakalpojumu izmaksas.</w:t>
      </w:r>
    </w:p>
    <w:p w14:paraId="35E84CCF" w14:textId="5042663D" w:rsidR="004B2AD6" w:rsidRPr="007A55A2" w:rsidRDefault="003853D4" w:rsidP="009031DF">
      <w:pPr>
        <w:ind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Netieš</w:t>
      </w:r>
      <w:r w:rsidR="00ED2757" w:rsidRPr="007A55A2">
        <w:rPr>
          <w:rFonts w:ascii="Times New Roman" w:hAnsi="Times New Roman" w:cs="Times New Roman"/>
          <w:color w:val="000000" w:themeColor="text1"/>
          <w:lang w:val="lv-LV"/>
        </w:rPr>
        <w:t>o</w:t>
      </w:r>
      <w:r w:rsidRPr="007A55A2">
        <w:rPr>
          <w:rFonts w:ascii="Times New Roman" w:hAnsi="Times New Roman" w:cs="Times New Roman"/>
          <w:color w:val="000000" w:themeColor="text1"/>
          <w:lang w:val="lv-LV"/>
        </w:rPr>
        <w:t xml:space="preserve"> izmaks</w:t>
      </w:r>
      <w:r w:rsidR="00ED2757" w:rsidRPr="007A55A2">
        <w:rPr>
          <w:rFonts w:ascii="Times New Roman" w:hAnsi="Times New Roman" w:cs="Times New Roman"/>
          <w:color w:val="000000" w:themeColor="text1"/>
          <w:lang w:val="lv-LV"/>
        </w:rPr>
        <w:t xml:space="preserve">u aprēķināšanas kārtību </w:t>
      </w:r>
      <w:r w:rsidR="007911AE" w:rsidRPr="007A55A2">
        <w:rPr>
          <w:rFonts w:ascii="Times New Roman" w:hAnsi="Times New Roman" w:cs="Times New Roman"/>
          <w:color w:val="000000" w:themeColor="text1"/>
          <w:lang w:val="lv-LV"/>
        </w:rPr>
        <w:t xml:space="preserve">un likmes </w:t>
      </w:r>
      <w:r w:rsidR="00246C6E" w:rsidRPr="007A55A2">
        <w:rPr>
          <w:rFonts w:ascii="Times New Roman" w:hAnsi="Times New Roman" w:cs="Times New Roman"/>
          <w:color w:val="000000" w:themeColor="text1"/>
          <w:lang w:val="lv-LV"/>
        </w:rPr>
        <w:t>Latvijas valsts budžeta fi</w:t>
      </w:r>
      <w:r w:rsidR="00572136" w:rsidRPr="007A55A2">
        <w:rPr>
          <w:rFonts w:ascii="Times New Roman" w:hAnsi="Times New Roman" w:cs="Times New Roman"/>
          <w:color w:val="000000" w:themeColor="text1"/>
          <w:lang w:val="lv-LV"/>
        </w:rPr>
        <w:t xml:space="preserve">nansētām </w:t>
      </w:r>
      <w:r w:rsidR="0084731C" w:rsidRPr="007A55A2">
        <w:rPr>
          <w:rFonts w:ascii="Times New Roman" w:hAnsi="Times New Roman" w:cs="Times New Roman"/>
          <w:color w:val="000000" w:themeColor="text1"/>
          <w:lang w:val="lv-LV"/>
        </w:rPr>
        <w:t>programmām un projektiem</w:t>
      </w:r>
      <w:r w:rsidR="00E35A30" w:rsidRPr="007A55A2">
        <w:rPr>
          <w:rFonts w:ascii="Times New Roman" w:hAnsi="Times New Roman" w:cs="Times New Roman"/>
          <w:color w:val="000000" w:themeColor="text1"/>
          <w:lang w:val="lv-LV"/>
        </w:rPr>
        <w:t xml:space="preserve">, ietverot arī starptautiskās sadarbības </w:t>
      </w:r>
      <w:r w:rsidR="0084731C" w:rsidRPr="007A55A2">
        <w:rPr>
          <w:rFonts w:ascii="Times New Roman" w:hAnsi="Times New Roman" w:cs="Times New Roman"/>
          <w:color w:val="000000" w:themeColor="text1"/>
          <w:lang w:val="lv-LV"/>
        </w:rPr>
        <w:t xml:space="preserve">pētniecības </w:t>
      </w:r>
      <w:r w:rsidR="002C1D92" w:rsidRPr="007A55A2">
        <w:rPr>
          <w:rFonts w:ascii="Times New Roman" w:hAnsi="Times New Roman" w:cs="Times New Roman"/>
          <w:color w:val="000000" w:themeColor="text1"/>
          <w:lang w:val="lv-LV"/>
        </w:rPr>
        <w:t>programmas</w:t>
      </w:r>
      <w:r w:rsidR="0084731C" w:rsidRPr="007A55A2">
        <w:rPr>
          <w:rFonts w:ascii="Times New Roman" w:hAnsi="Times New Roman" w:cs="Times New Roman"/>
          <w:color w:val="000000" w:themeColor="text1"/>
          <w:lang w:val="lv-LV"/>
        </w:rPr>
        <w:t xml:space="preserve">, </w:t>
      </w:r>
      <w:r w:rsidR="007911AE" w:rsidRPr="007A55A2">
        <w:rPr>
          <w:rFonts w:ascii="Times New Roman" w:hAnsi="Times New Roman" w:cs="Times New Roman"/>
          <w:color w:val="000000" w:themeColor="text1"/>
          <w:lang w:val="lv-LV"/>
        </w:rPr>
        <w:t>prioritāri nosaka attiecīgo pētījumu programmu reglamentējošie Ministru kabi</w:t>
      </w:r>
      <w:r w:rsidR="00246C6E" w:rsidRPr="007A55A2">
        <w:rPr>
          <w:rFonts w:ascii="Times New Roman" w:hAnsi="Times New Roman" w:cs="Times New Roman"/>
          <w:color w:val="000000" w:themeColor="text1"/>
          <w:lang w:val="lv-LV"/>
        </w:rPr>
        <w:t>n</w:t>
      </w:r>
      <w:r w:rsidR="007911AE" w:rsidRPr="007A55A2">
        <w:rPr>
          <w:rFonts w:ascii="Times New Roman" w:hAnsi="Times New Roman" w:cs="Times New Roman"/>
          <w:color w:val="000000" w:themeColor="text1"/>
          <w:lang w:val="lv-LV"/>
        </w:rPr>
        <w:t>eta noteikumi</w:t>
      </w:r>
      <w:r w:rsidR="00332C7C" w:rsidRPr="007A55A2">
        <w:rPr>
          <w:rFonts w:ascii="Times New Roman" w:hAnsi="Times New Roman" w:cs="Times New Roman"/>
          <w:color w:val="000000" w:themeColor="text1"/>
          <w:lang w:val="lv-LV"/>
        </w:rPr>
        <w:t xml:space="preserve"> (turpmāk – MK Noteikumi)</w:t>
      </w:r>
      <w:r w:rsidR="00246C6E" w:rsidRPr="007A55A2">
        <w:rPr>
          <w:rFonts w:ascii="Times New Roman" w:hAnsi="Times New Roman" w:cs="Times New Roman"/>
          <w:color w:val="000000" w:themeColor="text1"/>
          <w:lang w:val="lv-LV"/>
        </w:rPr>
        <w:t>, atsevišķos gadījumo</w:t>
      </w:r>
      <w:r w:rsidR="00572136" w:rsidRPr="007A55A2">
        <w:rPr>
          <w:rFonts w:ascii="Times New Roman" w:hAnsi="Times New Roman" w:cs="Times New Roman"/>
          <w:color w:val="000000" w:themeColor="text1"/>
          <w:lang w:val="lv-LV"/>
        </w:rPr>
        <w:t xml:space="preserve">s atstājot regulāciju vai tās detalizāciju attiecīgās programmas konkursu nolikumu ziņā. </w:t>
      </w:r>
      <w:r w:rsidR="007109E3" w:rsidRPr="007A55A2">
        <w:rPr>
          <w:rFonts w:ascii="Times New Roman" w:hAnsi="Times New Roman" w:cs="Times New Roman"/>
          <w:color w:val="000000" w:themeColor="text1"/>
          <w:lang w:val="lv-LV"/>
        </w:rPr>
        <w:t xml:space="preserve">Latvijas Zinātnes padome </w:t>
      </w:r>
      <w:r w:rsidR="00DA003D" w:rsidRPr="007A55A2">
        <w:rPr>
          <w:rFonts w:ascii="Times New Roman" w:hAnsi="Times New Roman" w:cs="Times New Roman"/>
          <w:color w:val="000000" w:themeColor="text1"/>
          <w:lang w:val="lv-LV"/>
        </w:rPr>
        <w:t xml:space="preserve">(turpmāk – </w:t>
      </w:r>
      <w:r w:rsidR="009A474C" w:rsidRPr="007A55A2">
        <w:rPr>
          <w:rFonts w:ascii="Times New Roman" w:hAnsi="Times New Roman" w:cs="Times New Roman"/>
          <w:color w:val="000000" w:themeColor="text1"/>
          <w:lang w:val="lv-LV"/>
        </w:rPr>
        <w:t>P</w:t>
      </w:r>
      <w:r w:rsidR="00DA003D" w:rsidRPr="007A55A2">
        <w:rPr>
          <w:rFonts w:ascii="Times New Roman" w:hAnsi="Times New Roman" w:cs="Times New Roman"/>
          <w:color w:val="000000" w:themeColor="text1"/>
          <w:lang w:val="lv-LV"/>
        </w:rPr>
        <w:t>adome)</w:t>
      </w:r>
      <w:r w:rsidR="009A474C" w:rsidRPr="007A55A2">
        <w:rPr>
          <w:rFonts w:ascii="Times New Roman" w:hAnsi="Times New Roman" w:cs="Times New Roman"/>
          <w:color w:val="000000" w:themeColor="text1"/>
          <w:lang w:val="lv-LV"/>
        </w:rPr>
        <w:t xml:space="preserve"> </w:t>
      </w:r>
      <w:r w:rsidR="007109E3" w:rsidRPr="007A55A2">
        <w:rPr>
          <w:rFonts w:ascii="Times New Roman" w:hAnsi="Times New Roman" w:cs="Times New Roman"/>
          <w:color w:val="000000" w:themeColor="text1"/>
          <w:lang w:val="lv-LV"/>
        </w:rPr>
        <w:t>tās administrēt</w:t>
      </w:r>
      <w:r w:rsidR="00C07F97" w:rsidRPr="007A55A2">
        <w:rPr>
          <w:rFonts w:ascii="Times New Roman" w:hAnsi="Times New Roman" w:cs="Times New Roman"/>
          <w:color w:val="000000" w:themeColor="text1"/>
          <w:lang w:val="lv-LV"/>
        </w:rPr>
        <w:t>o</w:t>
      </w:r>
      <w:r w:rsidR="007109E3" w:rsidRPr="007A55A2">
        <w:rPr>
          <w:rFonts w:ascii="Times New Roman" w:hAnsi="Times New Roman" w:cs="Times New Roman"/>
          <w:color w:val="000000" w:themeColor="text1"/>
          <w:lang w:val="lv-LV"/>
        </w:rPr>
        <w:t xml:space="preserve"> </w:t>
      </w:r>
      <w:r w:rsidR="002D6458" w:rsidRPr="007A55A2">
        <w:rPr>
          <w:rFonts w:ascii="Times New Roman" w:hAnsi="Times New Roman" w:cs="Times New Roman"/>
          <w:color w:val="000000" w:themeColor="text1"/>
          <w:lang w:val="lv-LV"/>
        </w:rPr>
        <w:t>Valsts p</w:t>
      </w:r>
      <w:r w:rsidR="006F278B" w:rsidRPr="007A55A2">
        <w:rPr>
          <w:rFonts w:ascii="Times New Roman" w:hAnsi="Times New Roman" w:cs="Times New Roman"/>
          <w:color w:val="000000" w:themeColor="text1"/>
          <w:lang w:val="lv-LV"/>
        </w:rPr>
        <w:t>ē</w:t>
      </w:r>
      <w:r w:rsidR="002D6458" w:rsidRPr="007A55A2">
        <w:rPr>
          <w:rFonts w:ascii="Times New Roman" w:hAnsi="Times New Roman" w:cs="Times New Roman"/>
          <w:color w:val="000000" w:themeColor="text1"/>
          <w:lang w:val="lv-LV"/>
        </w:rPr>
        <w:t>tījumu programm</w:t>
      </w:r>
      <w:r w:rsidR="009A474C" w:rsidRPr="007A55A2">
        <w:rPr>
          <w:rFonts w:ascii="Times New Roman" w:hAnsi="Times New Roman" w:cs="Times New Roman"/>
          <w:color w:val="000000" w:themeColor="text1"/>
          <w:lang w:val="lv-LV"/>
        </w:rPr>
        <w:t>u</w:t>
      </w:r>
      <w:r w:rsidR="002D6458" w:rsidRPr="007A55A2">
        <w:rPr>
          <w:rFonts w:ascii="Times New Roman" w:hAnsi="Times New Roman" w:cs="Times New Roman"/>
          <w:color w:val="000000" w:themeColor="text1"/>
          <w:lang w:val="lv-LV"/>
        </w:rPr>
        <w:t xml:space="preserve"> (turpmāk – VPP) un </w:t>
      </w:r>
      <w:r w:rsidR="00D60CF2" w:rsidRPr="007A55A2">
        <w:rPr>
          <w:rFonts w:ascii="Times New Roman" w:hAnsi="Times New Roman" w:cs="Times New Roman"/>
          <w:color w:val="000000" w:themeColor="text1"/>
          <w:lang w:val="lv-LV"/>
        </w:rPr>
        <w:t>Fundamentālo un Lietišķo pētījumu projektu</w:t>
      </w:r>
      <w:r w:rsidR="00DA003D" w:rsidRPr="007A55A2">
        <w:rPr>
          <w:rFonts w:ascii="Times New Roman" w:hAnsi="Times New Roman" w:cs="Times New Roman"/>
          <w:color w:val="000000" w:themeColor="text1"/>
          <w:lang w:val="lv-LV"/>
        </w:rPr>
        <w:t xml:space="preserve"> (turpmāk – FLPP)</w:t>
      </w:r>
      <w:r w:rsidR="009A474C" w:rsidRPr="007A55A2">
        <w:rPr>
          <w:rFonts w:ascii="Times New Roman" w:hAnsi="Times New Roman" w:cs="Times New Roman"/>
          <w:color w:val="000000" w:themeColor="text1"/>
          <w:lang w:val="lv-LV"/>
        </w:rPr>
        <w:t xml:space="preserve"> konkursiem veido detalizētus šo konkursu </w:t>
      </w:r>
      <w:r w:rsidR="0093758A" w:rsidRPr="007A55A2">
        <w:rPr>
          <w:rFonts w:ascii="Times New Roman" w:hAnsi="Times New Roman" w:cs="Times New Roman"/>
          <w:color w:val="000000" w:themeColor="text1"/>
          <w:lang w:val="lv-LV"/>
        </w:rPr>
        <w:t>nolikumus</w:t>
      </w:r>
      <w:r w:rsidR="00EB141C" w:rsidRPr="007A55A2">
        <w:rPr>
          <w:rFonts w:ascii="Times New Roman" w:hAnsi="Times New Roman" w:cs="Times New Roman"/>
          <w:color w:val="000000" w:themeColor="text1"/>
          <w:lang w:val="lv-LV"/>
        </w:rPr>
        <w:t>.</w:t>
      </w:r>
      <w:r w:rsidR="0093758A" w:rsidRPr="007A55A2">
        <w:rPr>
          <w:rFonts w:ascii="Times New Roman" w:hAnsi="Times New Roman" w:cs="Times New Roman"/>
          <w:color w:val="000000" w:themeColor="text1"/>
          <w:lang w:val="lv-LV"/>
        </w:rPr>
        <w:t xml:space="preserve"> </w:t>
      </w:r>
      <w:r w:rsidR="009340CD" w:rsidRPr="007A55A2">
        <w:rPr>
          <w:rFonts w:ascii="Times New Roman" w:hAnsi="Times New Roman" w:cs="Times New Roman"/>
          <w:color w:val="000000" w:themeColor="text1"/>
          <w:lang w:val="lv-LV"/>
        </w:rPr>
        <w:t>Arī</w:t>
      </w:r>
      <w:r w:rsidR="0088138C" w:rsidRPr="007A55A2">
        <w:rPr>
          <w:rFonts w:ascii="Times New Roman" w:hAnsi="Times New Roman" w:cs="Times New Roman"/>
          <w:color w:val="000000" w:themeColor="text1"/>
          <w:lang w:val="lv-LV"/>
        </w:rPr>
        <w:t xml:space="preserve"> </w:t>
      </w:r>
      <w:r w:rsidR="00E9780A" w:rsidRPr="007A55A2">
        <w:rPr>
          <w:rFonts w:ascii="Times New Roman" w:hAnsi="Times New Roman" w:cs="Times New Roman"/>
          <w:color w:val="000000" w:themeColor="text1"/>
          <w:lang w:val="lv-LV"/>
        </w:rPr>
        <w:t xml:space="preserve">Eiropas Savienības struktūrfondu </w:t>
      </w:r>
      <w:r w:rsidR="003C7E2E" w:rsidRPr="007A55A2">
        <w:rPr>
          <w:rFonts w:ascii="Times New Roman" w:hAnsi="Times New Roman" w:cs="Times New Roman"/>
          <w:color w:val="000000" w:themeColor="text1"/>
          <w:lang w:val="lv-LV"/>
        </w:rPr>
        <w:t xml:space="preserve">un </w:t>
      </w:r>
      <w:r w:rsidR="00C043FD" w:rsidRPr="007A55A2">
        <w:rPr>
          <w:rFonts w:ascii="Times New Roman" w:hAnsi="Times New Roman" w:cs="Times New Roman"/>
          <w:color w:val="000000" w:themeColor="text1"/>
          <w:lang w:val="lv-LV"/>
        </w:rPr>
        <w:t>Latvijas valsts</w:t>
      </w:r>
      <w:r w:rsidR="003C7E2E" w:rsidRPr="007A55A2">
        <w:rPr>
          <w:rFonts w:ascii="Times New Roman" w:hAnsi="Times New Roman" w:cs="Times New Roman"/>
          <w:color w:val="000000" w:themeColor="text1"/>
          <w:lang w:val="lv-LV"/>
        </w:rPr>
        <w:t xml:space="preserve"> budžeta līdzfinansēt</w:t>
      </w:r>
      <w:r w:rsidR="00A01236" w:rsidRPr="007A55A2">
        <w:rPr>
          <w:rFonts w:ascii="Times New Roman" w:hAnsi="Times New Roman" w:cs="Times New Roman"/>
          <w:color w:val="000000" w:themeColor="text1"/>
          <w:lang w:val="lv-LV"/>
        </w:rPr>
        <w:t>u</w:t>
      </w:r>
      <w:r w:rsidR="003C7E2E" w:rsidRPr="007A55A2">
        <w:rPr>
          <w:rFonts w:ascii="Times New Roman" w:hAnsi="Times New Roman" w:cs="Times New Roman"/>
          <w:color w:val="000000" w:themeColor="text1"/>
          <w:lang w:val="lv-LV"/>
        </w:rPr>
        <w:t xml:space="preserve"> </w:t>
      </w:r>
      <w:r w:rsidR="00B02880" w:rsidRPr="007A55A2">
        <w:rPr>
          <w:rFonts w:ascii="Times New Roman" w:hAnsi="Times New Roman" w:cs="Times New Roman"/>
          <w:color w:val="000000" w:themeColor="text1"/>
          <w:lang w:val="lv-LV"/>
        </w:rPr>
        <w:t xml:space="preserve">pētniecības </w:t>
      </w:r>
      <w:r w:rsidR="00A01236" w:rsidRPr="007A55A2">
        <w:rPr>
          <w:rFonts w:ascii="Times New Roman" w:hAnsi="Times New Roman" w:cs="Times New Roman"/>
          <w:color w:val="000000" w:themeColor="text1"/>
          <w:lang w:val="lv-LV"/>
        </w:rPr>
        <w:t>programmu un projektu netieš</w:t>
      </w:r>
      <w:r w:rsidR="007F6F64" w:rsidRPr="007A55A2">
        <w:rPr>
          <w:rFonts w:ascii="Times New Roman" w:hAnsi="Times New Roman" w:cs="Times New Roman"/>
          <w:color w:val="000000" w:themeColor="text1"/>
          <w:lang w:val="lv-LV"/>
        </w:rPr>
        <w:t xml:space="preserve">o </w:t>
      </w:r>
      <w:r w:rsidR="006A323A" w:rsidRPr="007A55A2">
        <w:rPr>
          <w:rFonts w:ascii="Times New Roman" w:hAnsi="Times New Roman" w:cs="Times New Roman"/>
          <w:color w:val="000000" w:themeColor="text1"/>
          <w:lang w:val="lv-LV"/>
        </w:rPr>
        <w:t xml:space="preserve">izmaksu </w:t>
      </w:r>
      <w:r w:rsidR="00972028" w:rsidRPr="007A55A2">
        <w:rPr>
          <w:rFonts w:ascii="Times New Roman" w:hAnsi="Times New Roman" w:cs="Times New Roman"/>
          <w:color w:val="000000" w:themeColor="text1"/>
          <w:lang w:val="lv-LV"/>
        </w:rPr>
        <w:t xml:space="preserve">kārtību un likmes </w:t>
      </w:r>
      <w:r w:rsidR="006A323A" w:rsidRPr="007A55A2">
        <w:rPr>
          <w:rFonts w:ascii="Times New Roman" w:hAnsi="Times New Roman" w:cs="Times New Roman"/>
          <w:color w:val="000000" w:themeColor="text1"/>
          <w:lang w:val="lv-LV"/>
        </w:rPr>
        <w:t xml:space="preserve">nosaka attiecīgo pētījumu programmu reglamentējošie </w:t>
      </w:r>
      <w:r w:rsidR="007A3AE7" w:rsidRPr="007A55A2">
        <w:rPr>
          <w:rFonts w:ascii="Times New Roman" w:hAnsi="Times New Roman" w:cs="Times New Roman"/>
          <w:color w:val="000000" w:themeColor="text1"/>
          <w:lang w:val="lv-LV"/>
        </w:rPr>
        <w:t>MK</w:t>
      </w:r>
      <w:r w:rsidR="006A323A" w:rsidRPr="007A55A2">
        <w:rPr>
          <w:rFonts w:ascii="Times New Roman" w:hAnsi="Times New Roman" w:cs="Times New Roman"/>
          <w:color w:val="000000" w:themeColor="text1"/>
          <w:lang w:val="lv-LV"/>
        </w:rPr>
        <w:t xml:space="preserve"> noteikumi</w:t>
      </w:r>
      <w:r w:rsidR="007A3AE7" w:rsidRPr="007A55A2">
        <w:rPr>
          <w:rFonts w:ascii="Times New Roman" w:hAnsi="Times New Roman" w:cs="Times New Roman"/>
          <w:color w:val="000000" w:themeColor="text1"/>
          <w:lang w:val="lv-LV"/>
        </w:rPr>
        <w:t>. Savukārt</w:t>
      </w:r>
      <w:r w:rsidR="003736EF" w:rsidRPr="007A55A2">
        <w:rPr>
          <w:rFonts w:ascii="Times New Roman" w:hAnsi="Times New Roman" w:cs="Times New Roman"/>
          <w:color w:val="000000" w:themeColor="text1"/>
          <w:lang w:val="lv-LV"/>
        </w:rPr>
        <w:t>,</w:t>
      </w:r>
      <w:r w:rsidR="007A3AE7" w:rsidRPr="007A55A2">
        <w:rPr>
          <w:rFonts w:ascii="Times New Roman" w:hAnsi="Times New Roman" w:cs="Times New Roman"/>
          <w:color w:val="000000" w:themeColor="text1"/>
          <w:lang w:val="lv-LV"/>
        </w:rPr>
        <w:t xml:space="preserve"> </w:t>
      </w:r>
      <w:r w:rsidR="0088138C" w:rsidRPr="007A55A2">
        <w:rPr>
          <w:rFonts w:ascii="Times New Roman" w:hAnsi="Times New Roman" w:cs="Times New Roman"/>
          <w:color w:val="000000" w:themeColor="text1"/>
          <w:lang w:val="lv-LV"/>
        </w:rPr>
        <w:t>Eiropas Savienības finansēto un/vai līdzfinansēto projekt</w:t>
      </w:r>
      <w:r w:rsidR="003D1CE4" w:rsidRPr="007A55A2">
        <w:rPr>
          <w:rFonts w:ascii="Times New Roman" w:hAnsi="Times New Roman" w:cs="Times New Roman"/>
          <w:color w:val="000000" w:themeColor="text1"/>
          <w:lang w:val="lv-LV"/>
        </w:rPr>
        <w:t>u netiešās</w:t>
      </w:r>
      <w:r w:rsidR="001A389E" w:rsidRPr="007A55A2">
        <w:rPr>
          <w:rFonts w:ascii="Times New Roman" w:hAnsi="Times New Roman" w:cs="Times New Roman"/>
          <w:color w:val="000000" w:themeColor="text1"/>
          <w:lang w:val="lv-LV"/>
        </w:rPr>
        <w:t xml:space="preserve"> </w:t>
      </w:r>
      <w:r w:rsidR="003D1CE4" w:rsidRPr="007A55A2">
        <w:rPr>
          <w:rFonts w:ascii="Times New Roman" w:hAnsi="Times New Roman" w:cs="Times New Roman"/>
          <w:color w:val="000000" w:themeColor="text1"/>
          <w:lang w:val="lv-LV"/>
        </w:rPr>
        <w:t>izmaksas regulē Eiropas Parlamenta un Padomes normatīvie akti.</w:t>
      </w:r>
      <w:r w:rsidR="008633DD" w:rsidRPr="007A55A2">
        <w:rPr>
          <w:rFonts w:ascii="Times New Roman" w:hAnsi="Times New Roman" w:cs="Times New Roman"/>
          <w:color w:val="000000" w:themeColor="text1"/>
          <w:lang w:val="lv-LV"/>
        </w:rPr>
        <w:t xml:space="preserve"> </w:t>
      </w:r>
    </w:p>
    <w:p w14:paraId="2342D1F1" w14:textId="42D03580" w:rsidR="00621EC9" w:rsidRPr="007A55A2" w:rsidRDefault="00621EC9" w:rsidP="009031DF">
      <w:pPr>
        <w:ind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VPP 2018. gada 4. septembra MK noteikumu Nr. 560</w:t>
      </w:r>
      <w:r w:rsidR="0097182D" w:rsidRPr="007A55A2">
        <w:rPr>
          <w:rStyle w:val="FootnoteReference"/>
          <w:rFonts w:ascii="Times New Roman" w:hAnsi="Times New Roman" w:cs="Times New Roman"/>
          <w:color w:val="000000" w:themeColor="text1"/>
          <w:lang w:val="lv-LV"/>
        </w:rPr>
        <w:footnoteReference w:id="1"/>
      </w:r>
      <w:r w:rsidRPr="007A55A2">
        <w:rPr>
          <w:rFonts w:ascii="Times New Roman" w:hAnsi="Times New Roman" w:cs="Times New Roman"/>
          <w:color w:val="000000" w:themeColor="text1"/>
          <w:lang w:val="lv-LV"/>
        </w:rPr>
        <w:t xml:space="preserve"> 14.2. apakšpunktā paredzēts, ka netiešās attiecināmās izmaksas nosaka attiecīgajā projektu pieteikumu konkursu nolikumā atbilstoši attiecīgās nozaru ministrijas veiktajam novērtējumam par programmas īstenošanas izmaksām. Ņemot vērā to, ka nozaru ministrijām nav pietiekamas datos un aprēķinos balstītas informācijas par dažādu pētījumu programmu ietvaros izmantotajām netiešo attiecināmo izmaksu likmēm, Padome, ņemot vērā savu ilggadējo pieredzi un tās rīcībā esošos datus par Latvijas un ārvalstu pētījumu programmā</w:t>
      </w:r>
      <w:r w:rsidR="00D2547F" w:rsidRPr="007A55A2">
        <w:rPr>
          <w:rFonts w:ascii="Times New Roman" w:hAnsi="Times New Roman" w:cs="Times New Roman"/>
          <w:color w:val="000000" w:themeColor="text1"/>
          <w:lang w:val="lv-LV"/>
        </w:rPr>
        <w:t>m</w:t>
      </w:r>
      <w:r w:rsidRPr="007A55A2">
        <w:rPr>
          <w:rFonts w:ascii="Times New Roman" w:hAnsi="Times New Roman" w:cs="Times New Roman"/>
          <w:color w:val="000000" w:themeColor="text1"/>
          <w:lang w:val="lv-LV"/>
        </w:rPr>
        <w:t xml:space="preserve">, ir izstrādājusi un piedāvā nozaru ministrijām </w:t>
      </w:r>
      <w:r w:rsidRPr="007A55A2">
        <w:rPr>
          <w:rFonts w:ascii="Times New Roman" w:hAnsi="Times New Roman" w:cs="Times New Roman"/>
          <w:color w:val="000000" w:themeColor="text1"/>
          <w:lang w:val="lv-LV"/>
        </w:rPr>
        <w:lastRenderedPageBreak/>
        <w:t xml:space="preserve">Novērtējumu par netiešo izmaksu apmēru Valsts pētījumu programmās salīdzinājumā ar citiem Latvijā īstenotiem pētījumu programmu un projektu veidiem”.  </w:t>
      </w:r>
    </w:p>
    <w:p w14:paraId="40305A3E" w14:textId="1AD7959D" w:rsidR="00DC4B38" w:rsidRPr="007A55A2" w:rsidRDefault="003736EF" w:rsidP="009031DF">
      <w:pPr>
        <w:ind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Šī </w:t>
      </w:r>
      <w:r w:rsidR="00621EC9" w:rsidRPr="007A55A2">
        <w:rPr>
          <w:rFonts w:ascii="Times New Roman" w:hAnsi="Times New Roman" w:cs="Times New Roman"/>
          <w:color w:val="000000" w:themeColor="text1"/>
          <w:lang w:val="lv-LV"/>
        </w:rPr>
        <w:t>novērtējuma</w:t>
      </w:r>
      <w:r w:rsidR="00DC4B38" w:rsidRPr="007A55A2">
        <w:rPr>
          <w:rFonts w:ascii="Times New Roman" w:hAnsi="Times New Roman" w:cs="Times New Roman"/>
          <w:color w:val="000000" w:themeColor="text1"/>
          <w:lang w:val="lv-LV"/>
        </w:rPr>
        <w:t xml:space="preserve"> mērķis ir </w:t>
      </w:r>
      <w:r w:rsidR="008633DD" w:rsidRPr="007A55A2">
        <w:rPr>
          <w:rFonts w:ascii="Times New Roman" w:hAnsi="Times New Roman" w:cs="Times New Roman"/>
          <w:color w:val="000000" w:themeColor="text1"/>
          <w:lang w:val="lv-LV"/>
        </w:rPr>
        <w:t>apkopo</w:t>
      </w:r>
      <w:r w:rsidR="00DC4B38" w:rsidRPr="007A55A2">
        <w:rPr>
          <w:rFonts w:ascii="Times New Roman" w:hAnsi="Times New Roman" w:cs="Times New Roman"/>
          <w:color w:val="000000" w:themeColor="text1"/>
          <w:lang w:val="lv-LV"/>
        </w:rPr>
        <w:t>t un salīdzināt</w:t>
      </w:r>
      <w:r w:rsidR="008633DD" w:rsidRPr="007A55A2">
        <w:rPr>
          <w:rFonts w:ascii="Times New Roman" w:hAnsi="Times New Roman" w:cs="Times New Roman"/>
          <w:color w:val="000000" w:themeColor="text1"/>
          <w:lang w:val="lv-LV"/>
        </w:rPr>
        <w:t xml:space="preserve"> informāciju par n</w:t>
      </w:r>
      <w:r w:rsidR="00B140D0" w:rsidRPr="007A55A2">
        <w:rPr>
          <w:rFonts w:ascii="Times New Roman" w:hAnsi="Times New Roman" w:cs="Times New Roman"/>
          <w:color w:val="000000" w:themeColor="text1"/>
          <w:lang w:val="lv-LV"/>
        </w:rPr>
        <w:t xml:space="preserve">ormatīvajos aktos </w:t>
      </w:r>
      <w:r w:rsidRPr="007A55A2">
        <w:rPr>
          <w:rFonts w:ascii="Times New Roman" w:hAnsi="Times New Roman" w:cs="Times New Roman"/>
          <w:color w:val="000000" w:themeColor="text1"/>
          <w:lang w:val="lv-LV"/>
        </w:rPr>
        <w:t xml:space="preserve">noteikto </w:t>
      </w:r>
      <w:r w:rsidR="00B140D0" w:rsidRPr="007A55A2">
        <w:rPr>
          <w:rFonts w:ascii="Times New Roman" w:hAnsi="Times New Roman" w:cs="Times New Roman"/>
          <w:color w:val="000000" w:themeColor="text1"/>
          <w:lang w:val="lv-LV"/>
        </w:rPr>
        <w:t>netiešo izmaksu aprēķina kārtību un likmēm</w:t>
      </w:r>
      <w:r w:rsidRPr="007A55A2">
        <w:rPr>
          <w:rFonts w:ascii="Times New Roman" w:hAnsi="Times New Roman" w:cs="Times New Roman"/>
          <w:color w:val="000000" w:themeColor="text1"/>
          <w:lang w:val="lv-LV"/>
        </w:rPr>
        <w:t xml:space="preserve"> un</w:t>
      </w:r>
      <w:r w:rsidR="00B140D0" w:rsidRPr="007A55A2">
        <w:rPr>
          <w:rFonts w:ascii="Times New Roman" w:hAnsi="Times New Roman" w:cs="Times New Roman"/>
          <w:color w:val="000000" w:themeColor="text1"/>
          <w:lang w:val="lv-LV"/>
        </w:rPr>
        <w:t xml:space="preserve"> to detalizāciju konkursu nolik</w:t>
      </w:r>
      <w:r w:rsidR="00FF35BE" w:rsidRPr="007A55A2">
        <w:rPr>
          <w:rFonts w:ascii="Times New Roman" w:hAnsi="Times New Roman" w:cs="Times New Roman"/>
          <w:color w:val="000000" w:themeColor="text1"/>
          <w:lang w:val="lv-LV"/>
        </w:rPr>
        <w:t>umos</w:t>
      </w:r>
      <w:r w:rsidR="00B80492" w:rsidRPr="007A55A2">
        <w:rPr>
          <w:rFonts w:ascii="Times New Roman" w:hAnsi="Times New Roman" w:cs="Times New Roman"/>
          <w:color w:val="000000" w:themeColor="text1"/>
          <w:lang w:val="lv-LV"/>
        </w:rPr>
        <w:t>, ja tāda ir piemērota</w:t>
      </w:r>
      <w:r w:rsidR="00DC4B38" w:rsidRPr="007A55A2">
        <w:rPr>
          <w:rFonts w:ascii="Times New Roman" w:hAnsi="Times New Roman" w:cs="Times New Roman"/>
          <w:color w:val="000000" w:themeColor="text1"/>
          <w:lang w:val="lv-LV"/>
        </w:rPr>
        <w:t xml:space="preserve">. </w:t>
      </w:r>
      <w:r w:rsidR="0097182D" w:rsidRPr="007A55A2">
        <w:rPr>
          <w:rFonts w:ascii="Times New Roman" w:hAnsi="Times New Roman" w:cs="Times New Roman"/>
          <w:color w:val="000000" w:themeColor="text1"/>
          <w:lang w:val="lv-LV"/>
        </w:rPr>
        <w:t>Novērtējumā</w:t>
      </w:r>
      <w:r w:rsidR="006F278B" w:rsidRPr="007A55A2">
        <w:rPr>
          <w:rFonts w:ascii="Times New Roman" w:hAnsi="Times New Roman" w:cs="Times New Roman"/>
          <w:color w:val="000000" w:themeColor="text1"/>
          <w:lang w:val="lv-LV"/>
        </w:rPr>
        <w:t xml:space="preserve"> arī i</w:t>
      </w:r>
      <w:r w:rsidR="00DC4B38" w:rsidRPr="007A55A2">
        <w:rPr>
          <w:rFonts w:ascii="Times New Roman" w:hAnsi="Times New Roman" w:cs="Times New Roman"/>
          <w:color w:val="000000" w:themeColor="text1"/>
          <w:lang w:val="lv-LV"/>
        </w:rPr>
        <w:t>r apkopota informācij</w:t>
      </w:r>
      <w:r w:rsidR="006F278B" w:rsidRPr="007A55A2">
        <w:rPr>
          <w:rFonts w:ascii="Times New Roman" w:hAnsi="Times New Roman" w:cs="Times New Roman"/>
          <w:color w:val="000000" w:themeColor="text1"/>
          <w:lang w:val="lv-LV"/>
        </w:rPr>
        <w:t>a</w:t>
      </w:r>
      <w:r w:rsidR="00DC4B38" w:rsidRPr="007A55A2">
        <w:rPr>
          <w:rFonts w:ascii="Times New Roman" w:hAnsi="Times New Roman" w:cs="Times New Roman"/>
          <w:color w:val="000000" w:themeColor="text1"/>
          <w:lang w:val="lv-LV"/>
        </w:rPr>
        <w:t xml:space="preserve"> par projektu iesniedzēju un īstenotāju praksi</w:t>
      </w:r>
      <w:r w:rsidR="006F278B" w:rsidRPr="007A55A2">
        <w:rPr>
          <w:rFonts w:ascii="Times New Roman" w:hAnsi="Times New Roman" w:cs="Times New Roman"/>
          <w:color w:val="000000" w:themeColor="text1"/>
          <w:lang w:val="lv-LV"/>
        </w:rPr>
        <w:t>,</w:t>
      </w:r>
      <w:r w:rsidR="00DC4B38" w:rsidRPr="007A55A2">
        <w:rPr>
          <w:rFonts w:ascii="Times New Roman" w:hAnsi="Times New Roman" w:cs="Times New Roman"/>
          <w:color w:val="000000" w:themeColor="text1"/>
          <w:lang w:val="lv-LV"/>
        </w:rPr>
        <w:t xml:space="preserve"> paredzot un īstenojot projektu budžetu, </w:t>
      </w:r>
      <w:r w:rsidR="006F278B" w:rsidRPr="007A55A2">
        <w:rPr>
          <w:rFonts w:ascii="Times New Roman" w:hAnsi="Times New Roman" w:cs="Times New Roman"/>
          <w:color w:val="000000" w:themeColor="text1"/>
          <w:lang w:val="lv-LV"/>
        </w:rPr>
        <w:t>aprēķinot</w:t>
      </w:r>
      <w:r w:rsidR="00DC4B38" w:rsidRPr="007A55A2">
        <w:rPr>
          <w:rFonts w:ascii="Times New Roman" w:hAnsi="Times New Roman" w:cs="Times New Roman"/>
          <w:color w:val="000000" w:themeColor="text1"/>
          <w:lang w:val="lv-LV"/>
        </w:rPr>
        <w:t xml:space="preserve"> noteiktu netiešo izmaksu daļu</w:t>
      </w:r>
      <w:r w:rsidR="00E330FB" w:rsidRPr="007A55A2">
        <w:rPr>
          <w:rFonts w:ascii="Times New Roman" w:hAnsi="Times New Roman" w:cs="Times New Roman"/>
          <w:color w:val="000000" w:themeColor="text1"/>
          <w:lang w:val="lv-LV"/>
        </w:rPr>
        <w:t xml:space="preserve"> padomes administrētajos VPP</w:t>
      </w:r>
      <w:r w:rsidR="0097182D" w:rsidRPr="007A55A2">
        <w:rPr>
          <w:rFonts w:ascii="Times New Roman" w:hAnsi="Times New Roman" w:cs="Times New Roman"/>
          <w:color w:val="000000" w:themeColor="text1"/>
          <w:lang w:val="lv-LV"/>
        </w:rPr>
        <w:t xml:space="preserve">, </w:t>
      </w:r>
      <w:r w:rsidR="00E330FB" w:rsidRPr="007A55A2">
        <w:rPr>
          <w:rFonts w:ascii="Times New Roman" w:hAnsi="Times New Roman" w:cs="Times New Roman"/>
          <w:color w:val="000000" w:themeColor="text1"/>
          <w:lang w:val="lv-LV"/>
        </w:rPr>
        <w:t xml:space="preserve"> </w:t>
      </w:r>
      <w:r w:rsidR="00AA53FF" w:rsidRPr="007A55A2">
        <w:rPr>
          <w:rFonts w:ascii="Times New Roman" w:hAnsi="Times New Roman" w:cs="Times New Roman"/>
          <w:color w:val="000000" w:themeColor="text1"/>
          <w:lang w:val="lv-LV"/>
        </w:rPr>
        <w:t xml:space="preserve">un </w:t>
      </w:r>
      <w:r w:rsidR="00E330FB" w:rsidRPr="007A55A2">
        <w:rPr>
          <w:rFonts w:ascii="Times New Roman" w:hAnsi="Times New Roman" w:cs="Times New Roman"/>
          <w:color w:val="000000" w:themeColor="text1"/>
          <w:lang w:val="lv-LV"/>
        </w:rPr>
        <w:t>FLPP</w:t>
      </w:r>
      <w:r w:rsidR="00AA53FF" w:rsidRPr="007A55A2">
        <w:rPr>
          <w:rFonts w:ascii="Times New Roman" w:hAnsi="Times New Roman" w:cs="Times New Roman"/>
          <w:color w:val="000000" w:themeColor="text1"/>
          <w:lang w:val="lv-LV"/>
        </w:rPr>
        <w:t>, kā arī</w:t>
      </w:r>
      <w:r w:rsidR="0097182D" w:rsidRPr="007A55A2">
        <w:rPr>
          <w:rFonts w:ascii="Times New Roman" w:hAnsi="Times New Roman" w:cs="Times New Roman"/>
          <w:color w:val="000000" w:themeColor="text1"/>
          <w:lang w:val="lv-LV"/>
        </w:rPr>
        <w:t xml:space="preserve"> citos </w:t>
      </w:r>
      <w:r w:rsidR="00AA53FF" w:rsidRPr="007A55A2">
        <w:rPr>
          <w:rFonts w:ascii="Times New Roman" w:hAnsi="Times New Roman" w:cs="Times New Roman"/>
          <w:color w:val="000000" w:themeColor="text1"/>
          <w:lang w:val="lv-LV"/>
        </w:rPr>
        <w:t xml:space="preserve">pētniecības </w:t>
      </w:r>
      <w:r w:rsidR="00E330FB" w:rsidRPr="007A55A2">
        <w:rPr>
          <w:rFonts w:ascii="Times New Roman" w:hAnsi="Times New Roman" w:cs="Times New Roman"/>
          <w:color w:val="000000" w:themeColor="text1"/>
          <w:lang w:val="lv-LV"/>
        </w:rPr>
        <w:t>projektos</w:t>
      </w:r>
      <w:r w:rsidR="00B5516E" w:rsidRPr="007A55A2">
        <w:rPr>
          <w:rFonts w:ascii="Times New Roman" w:hAnsi="Times New Roman" w:cs="Times New Roman"/>
          <w:color w:val="000000" w:themeColor="text1"/>
          <w:lang w:val="lv-LV"/>
        </w:rPr>
        <w:t xml:space="preserve">. </w:t>
      </w:r>
      <w:r w:rsidR="006F278B" w:rsidRPr="007A55A2">
        <w:rPr>
          <w:rFonts w:ascii="Times New Roman" w:hAnsi="Times New Roman" w:cs="Times New Roman"/>
          <w:color w:val="000000" w:themeColor="text1"/>
          <w:lang w:val="lv-LV"/>
        </w:rPr>
        <w:t xml:space="preserve">Tādejādi šis </w:t>
      </w:r>
      <w:r w:rsidR="0097182D" w:rsidRPr="007A55A2">
        <w:rPr>
          <w:rFonts w:ascii="Times New Roman" w:hAnsi="Times New Roman" w:cs="Times New Roman"/>
          <w:color w:val="000000" w:themeColor="text1"/>
          <w:lang w:val="lv-LV"/>
        </w:rPr>
        <w:t>novērtējums</w:t>
      </w:r>
      <w:r w:rsidR="006F278B" w:rsidRPr="007A55A2">
        <w:rPr>
          <w:rFonts w:ascii="Times New Roman" w:hAnsi="Times New Roman" w:cs="Times New Roman"/>
          <w:color w:val="000000" w:themeColor="text1"/>
          <w:lang w:val="lv-LV"/>
        </w:rPr>
        <w:t xml:space="preserve"> </w:t>
      </w:r>
      <w:r w:rsidR="0097182D" w:rsidRPr="007A55A2">
        <w:rPr>
          <w:rFonts w:ascii="Times New Roman" w:hAnsi="Times New Roman" w:cs="Times New Roman"/>
          <w:color w:val="000000" w:themeColor="text1"/>
          <w:lang w:val="lv-LV"/>
        </w:rPr>
        <w:t>sniedz datos balstītu informāciju</w:t>
      </w:r>
      <w:r w:rsidR="00DC4B38" w:rsidRPr="007A55A2">
        <w:rPr>
          <w:rFonts w:ascii="Times New Roman" w:hAnsi="Times New Roman" w:cs="Times New Roman"/>
          <w:color w:val="000000" w:themeColor="text1"/>
          <w:lang w:val="lv-LV"/>
        </w:rPr>
        <w:t xml:space="preserve"> </w:t>
      </w:r>
      <w:r w:rsidR="0097182D" w:rsidRPr="007A55A2">
        <w:rPr>
          <w:rFonts w:ascii="Times New Roman" w:hAnsi="Times New Roman" w:cs="Times New Roman"/>
          <w:color w:val="000000" w:themeColor="text1"/>
          <w:lang w:val="lv-LV"/>
        </w:rPr>
        <w:t xml:space="preserve">par </w:t>
      </w:r>
      <w:r w:rsidR="00DC4B38" w:rsidRPr="007A55A2">
        <w:rPr>
          <w:rFonts w:ascii="Times New Roman" w:hAnsi="Times New Roman" w:cs="Times New Roman"/>
          <w:color w:val="000000" w:themeColor="text1"/>
          <w:lang w:val="lv-LV"/>
        </w:rPr>
        <w:t>dažādu piemēroto netiešo izmaksa aprēķina veidu un likmju īpatnīb</w:t>
      </w:r>
      <w:r w:rsidR="0097182D" w:rsidRPr="007A55A2">
        <w:rPr>
          <w:rFonts w:ascii="Times New Roman" w:hAnsi="Times New Roman" w:cs="Times New Roman"/>
          <w:color w:val="000000" w:themeColor="text1"/>
          <w:lang w:val="lv-LV"/>
        </w:rPr>
        <w:t>ām</w:t>
      </w:r>
      <w:r w:rsidR="00DC4B38" w:rsidRPr="007A55A2">
        <w:rPr>
          <w:rFonts w:ascii="Times New Roman" w:hAnsi="Times New Roman" w:cs="Times New Roman"/>
          <w:color w:val="000000" w:themeColor="text1"/>
          <w:lang w:val="lv-LV"/>
        </w:rPr>
        <w:t>, to iespējamo ietekmi uz sekmīgu projektu īstenošanu, samazinot iespējamos riskus</w:t>
      </w:r>
      <w:r w:rsidR="00E330FB" w:rsidRPr="007A55A2">
        <w:rPr>
          <w:rFonts w:ascii="Times New Roman" w:hAnsi="Times New Roman" w:cs="Times New Roman"/>
          <w:color w:val="000000" w:themeColor="text1"/>
          <w:lang w:val="lv-LV"/>
        </w:rPr>
        <w:t xml:space="preserve">, kā arī </w:t>
      </w:r>
      <w:r w:rsidR="0097182D" w:rsidRPr="007A55A2">
        <w:rPr>
          <w:rFonts w:ascii="Times New Roman" w:hAnsi="Times New Roman" w:cs="Times New Roman"/>
          <w:color w:val="000000" w:themeColor="text1"/>
          <w:lang w:val="lv-LV"/>
        </w:rPr>
        <w:t xml:space="preserve">sniedz ieteikumus par </w:t>
      </w:r>
      <w:r w:rsidR="00E330FB" w:rsidRPr="007A55A2">
        <w:rPr>
          <w:rFonts w:ascii="Times New Roman" w:hAnsi="Times New Roman" w:cs="Times New Roman"/>
          <w:color w:val="000000" w:themeColor="text1"/>
          <w:lang w:val="lv-LV"/>
        </w:rPr>
        <w:t>optimāl</w:t>
      </w:r>
      <w:r w:rsidR="0097182D" w:rsidRPr="007A55A2">
        <w:rPr>
          <w:rFonts w:ascii="Times New Roman" w:hAnsi="Times New Roman" w:cs="Times New Roman"/>
          <w:color w:val="000000" w:themeColor="text1"/>
          <w:lang w:val="lv-LV"/>
        </w:rPr>
        <w:t>u</w:t>
      </w:r>
      <w:r w:rsidR="00E330FB" w:rsidRPr="007A55A2">
        <w:rPr>
          <w:rFonts w:ascii="Times New Roman" w:hAnsi="Times New Roman" w:cs="Times New Roman"/>
          <w:color w:val="000000" w:themeColor="text1"/>
          <w:lang w:val="lv-LV"/>
        </w:rPr>
        <w:t xml:space="preserve"> netiešo izmaksu noteikšanas veidu un likm</w:t>
      </w:r>
      <w:r w:rsidR="0097182D" w:rsidRPr="007A55A2">
        <w:rPr>
          <w:rFonts w:ascii="Times New Roman" w:hAnsi="Times New Roman" w:cs="Times New Roman"/>
          <w:color w:val="000000" w:themeColor="text1"/>
          <w:lang w:val="lv-LV"/>
        </w:rPr>
        <w:t>ēm</w:t>
      </w:r>
      <w:r w:rsidR="00E330FB" w:rsidRPr="007A55A2">
        <w:rPr>
          <w:rFonts w:ascii="Times New Roman" w:hAnsi="Times New Roman" w:cs="Times New Roman"/>
          <w:color w:val="000000" w:themeColor="text1"/>
          <w:lang w:val="lv-LV"/>
        </w:rPr>
        <w:t>.</w:t>
      </w:r>
    </w:p>
    <w:p w14:paraId="418BE49D" w14:textId="6F679630" w:rsidR="00474A1F" w:rsidRPr="007A55A2" w:rsidRDefault="006B5295" w:rsidP="00EA578C">
      <w:pPr>
        <w:ind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Novērtējuma </w:t>
      </w:r>
      <w:r w:rsidR="00CD2852" w:rsidRPr="007A55A2">
        <w:rPr>
          <w:rFonts w:ascii="Times New Roman" w:hAnsi="Times New Roman" w:cs="Times New Roman"/>
          <w:color w:val="000000" w:themeColor="text1"/>
          <w:lang w:val="lv-LV"/>
        </w:rPr>
        <w:t>2025. gada</w:t>
      </w:r>
      <w:r w:rsidR="002E6227" w:rsidRPr="007A55A2">
        <w:rPr>
          <w:rFonts w:ascii="Times New Roman" w:hAnsi="Times New Roman" w:cs="Times New Roman"/>
          <w:color w:val="000000" w:themeColor="text1"/>
          <w:lang w:val="lv-LV"/>
        </w:rPr>
        <w:t xml:space="preserve"> </w:t>
      </w:r>
      <w:r w:rsidRPr="007A55A2">
        <w:rPr>
          <w:rFonts w:ascii="Times New Roman" w:hAnsi="Times New Roman" w:cs="Times New Roman"/>
          <w:color w:val="000000" w:themeColor="text1"/>
          <w:lang w:val="lv-LV"/>
        </w:rPr>
        <w:t xml:space="preserve">versijā </w:t>
      </w:r>
      <w:r w:rsidR="00BE1BAF" w:rsidRPr="007A55A2">
        <w:rPr>
          <w:rFonts w:ascii="Times New Roman" w:hAnsi="Times New Roman" w:cs="Times New Roman"/>
          <w:color w:val="000000" w:themeColor="text1"/>
          <w:lang w:val="lv-LV"/>
        </w:rPr>
        <w:t xml:space="preserve"> ir pievienota nodaļa</w:t>
      </w:r>
      <w:r w:rsidR="001E0B48" w:rsidRPr="007A55A2">
        <w:rPr>
          <w:rFonts w:ascii="Times New Roman" w:hAnsi="Times New Roman" w:cs="Times New Roman"/>
          <w:color w:val="000000" w:themeColor="text1"/>
          <w:lang w:val="lv-LV"/>
        </w:rPr>
        <w:t xml:space="preserve">, kas apskata </w:t>
      </w:r>
      <w:r w:rsidR="000D4AEB" w:rsidRPr="007A55A2">
        <w:rPr>
          <w:rFonts w:ascii="Times New Roman" w:hAnsi="Times New Roman" w:cs="Times New Roman"/>
          <w:color w:val="000000" w:themeColor="text1"/>
          <w:lang w:val="lv-LV"/>
        </w:rPr>
        <w:t>netiešo izmaksu noteikšanas praksi</w:t>
      </w:r>
      <w:r w:rsidR="00EA578C" w:rsidRPr="007A55A2">
        <w:rPr>
          <w:rFonts w:ascii="Times New Roman" w:hAnsi="Times New Roman" w:cs="Times New Roman"/>
          <w:color w:val="000000" w:themeColor="text1"/>
          <w:lang w:val="lv-LV"/>
        </w:rPr>
        <w:t xml:space="preserve"> </w:t>
      </w:r>
      <w:r w:rsidR="001E0B48" w:rsidRPr="007A55A2">
        <w:rPr>
          <w:rFonts w:ascii="Times New Roman" w:hAnsi="Times New Roman" w:cs="Times New Roman"/>
          <w:color w:val="000000" w:themeColor="text1"/>
          <w:lang w:val="lv-LV"/>
        </w:rPr>
        <w:t xml:space="preserve">inovāciju </w:t>
      </w:r>
      <w:r w:rsidR="00EA578C" w:rsidRPr="007A55A2">
        <w:rPr>
          <w:rFonts w:ascii="Times New Roman" w:hAnsi="Times New Roman" w:cs="Times New Roman"/>
          <w:color w:val="000000" w:themeColor="text1"/>
          <w:lang w:val="lv-LV"/>
        </w:rPr>
        <w:t xml:space="preserve">izstrādes, </w:t>
      </w:r>
      <w:r w:rsidR="000D4AEB" w:rsidRPr="007A55A2">
        <w:rPr>
          <w:rFonts w:ascii="Times New Roman" w:hAnsi="Times New Roman" w:cs="Times New Roman"/>
          <w:color w:val="000000" w:themeColor="text1"/>
          <w:lang w:val="lv-LV"/>
        </w:rPr>
        <w:t>atbalsta un veicināšanas programmās.</w:t>
      </w:r>
    </w:p>
    <w:p w14:paraId="3D027CB7" w14:textId="0F059390" w:rsidR="00B5516E" w:rsidRPr="007A55A2" w:rsidRDefault="00B5516E" w:rsidP="009031DF">
      <w:pPr>
        <w:ind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Tabula 1. apkopo </w:t>
      </w:r>
      <w:r w:rsidR="00FB496A" w:rsidRPr="007A55A2">
        <w:rPr>
          <w:rFonts w:ascii="Times New Roman" w:hAnsi="Times New Roman" w:cs="Times New Roman"/>
          <w:color w:val="000000" w:themeColor="text1"/>
          <w:lang w:val="lv-LV"/>
        </w:rPr>
        <w:t>normatīvajos aktos</w:t>
      </w:r>
      <w:r w:rsidRPr="007A55A2">
        <w:rPr>
          <w:rFonts w:ascii="Times New Roman" w:hAnsi="Times New Roman" w:cs="Times New Roman"/>
          <w:color w:val="000000" w:themeColor="text1"/>
          <w:lang w:val="lv-LV"/>
        </w:rPr>
        <w:t xml:space="preserve"> un nolikumos noteikt</w:t>
      </w:r>
      <w:r w:rsidR="00FA66FB" w:rsidRPr="007A55A2">
        <w:rPr>
          <w:rFonts w:ascii="Times New Roman" w:hAnsi="Times New Roman" w:cs="Times New Roman"/>
          <w:color w:val="000000" w:themeColor="text1"/>
          <w:lang w:val="lv-LV"/>
        </w:rPr>
        <w:t>o</w:t>
      </w:r>
      <w:r w:rsidRPr="007A55A2">
        <w:rPr>
          <w:rFonts w:ascii="Times New Roman" w:hAnsi="Times New Roman" w:cs="Times New Roman"/>
          <w:color w:val="000000" w:themeColor="text1"/>
          <w:lang w:val="lv-LV"/>
        </w:rPr>
        <w:t xml:space="preserve"> netiešo izmaksu noteikšanas kārtību un likmes.</w:t>
      </w:r>
      <w:r w:rsidR="00C5575B" w:rsidRPr="007A55A2">
        <w:rPr>
          <w:rFonts w:ascii="Times New Roman" w:hAnsi="Times New Roman" w:cs="Times New Roman"/>
          <w:color w:val="000000" w:themeColor="text1"/>
          <w:lang w:val="lv-LV"/>
        </w:rPr>
        <w:t xml:space="preserve"> </w:t>
      </w:r>
    </w:p>
    <w:p w14:paraId="4FF71147" w14:textId="77777777" w:rsidR="00EA211D" w:rsidRPr="007A55A2" w:rsidRDefault="00EA211D" w:rsidP="00BC0543">
      <w:pPr>
        <w:pageBreakBefore/>
        <w:spacing w:before="360" w:after="240"/>
        <w:jc w:val="both"/>
        <w:rPr>
          <w:rFonts w:ascii="Times New Roman" w:hAnsi="Times New Roman" w:cs="Times New Roman"/>
          <w:color w:val="000000" w:themeColor="text1"/>
          <w:lang w:val="lv-LV"/>
        </w:rPr>
      </w:pPr>
      <w:r w:rsidRPr="007A55A2">
        <w:rPr>
          <w:rFonts w:ascii="Times New Roman" w:hAnsi="Times New Roman" w:cs="Times New Roman"/>
          <w:b/>
          <w:bCs/>
          <w:color w:val="000000" w:themeColor="text1"/>
          <w:lang w:val="lv-LV"/>
        </w:rPr>
        <w:lastRenderedPageBreak/>
        <w:t xml:space="preserve">Tabula 1. Netiešo izmaksu noteikšanas kārtību un likmes pētījumu projektu veidiem </w:t>
      </w:r>
      <w:r w:rsidRPr="007A55A2">
        <w:rPr>
          <w:rFonts w:ascii="Times New Roman" w:hAnsi="Times New Roman" w:cs="Times New Roman"/>
          <w:color w:val="000000" w:themeColor="text1"/>
          <w:lang w:val="lv-LV"/>
        </w:rPr>
        <w:t>(</w:t>
      </w:r>
      <w:r w:rsidRPr="007A55A2">
        <w:rPr>
          <w:rFonts w:ascii="Times New Roman" w:hAnsi="Times New Roman" w:cs="Times New Roman"/>
          <w:i/>
          <w:iCs/>
          <w:color w:val="000000" w:themeColor="text1"/>
          <w:lang w:val="lv-LV"/>
        </w:rPr>
        <w:t>N – nacionāla mēroga pētniecības projekti, St – starptautiskās sadarbības projekti, VB – Latvijas Valsts budžets, SF VB – Struktūrfondu un Latvijas Valsts budžeta līdzfinansējums, ES – Eiropas Savienības budžets. Ar pelēku iekrāsoti projektu veidi, kuros jauni projektu pieteikumu konkursi vairs nav paredzēti</w:t>
      </w:r>
      <w:r w:rsidRPr="007A55A2">
        <w:rPr>
          <w:rFonts w:ascii="Times New Roman" w:hAnsi="Times New Roman" w:cs="Times New Roman"/>
          <w:color w:val="000000" w:themeColor="text1"/>
          <w:lang w:val="lv-LV"/>
        </w:rPr>
        <w:t>.)</w:t>
      </w:r>
    </w:p>
    <w:tbl>
      <w:tblPr>
        <w:tblStyle w:val="TableGrid"/>
        <w:tblW w:w="0" w:type="auto"/>
        <w:jc w:val="center"/>
        <w:tblLook w:val="04A0" w:firstRow="1" w:lastRow="0" w:firstColumn="1" w:lastColumn="0" w:noHBand="0" w:noVBand="1"/>
      </w:tblPr>
      <w:tblGrid>
        <w:gridCol w:w="473"/>
        <w:gridCol w:w="494"/>
        <w:gridCol w:w="1941"/>
        <w:gridCol w:w="1401"/>
        <w:gridCol w:w="1402"/>
        <w:gridCol w:w="1676"/>
        <w:gridCol w:w="1264"/>
      </w:tblGrid>
      <w:tr w:rsidR="007A55A2" w:rsidRPr="007A55A2" w14:paraId="07B279BD" w14:textId="77777777" w:rsidTr="009638BD">
        <w:trPr>
          <w:jc w:val="center"/>
        </w:trPr>
        <w:tc>
          <w:tcPr>
            <w:tcW w:w="473" w:type="dxa"/>
            <w:vMerge w:val="restart"/>
            <w:textDirection w:val="btLr"/>
          </w:tcPr>
          <w:p w14:paraId="545E9F9E" w14:textId="77777777" w:rsidR="00EA211D" w:rsidRPr="007A55A2" w:rsidRDefault="00EA211D" w:rsidP="006A7DA3">
            <w:pPr>
              <w:ind w:left="113" w:right="113"/>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Mērogs</w:t>
            </w:r>
          </w:p>
        </w:tc>
        <w:tc>
          <w:tcPr>
            <w:tcW w:w="494" w:type="dxa"/>
            <w:vMerge w:val="restart"/>
            <w:textDirection w:val="btLr"/>
          </w:tcPr>
          <w:p w14:paraId="4D1E4D89" w14:textId="77777777" w:rsidR="00EA211D" w:rsidRPr="007A55A2" w:rsidRDefault="00EA211D" w:rsidP="006A7DA3">
            <w:pPr>
              <w:ind w:left="113" w:right="113"/>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Finansējums</w:t>
            </w:r>
          </w:p>
        </w:tc>
        <w:tc>
          <w:tcPr>
            <w:tcW w:w="1941" w:type="dxa"/>
            <w:vMerge w:val="restart"/>
            <w:vAlign w:val="center"/>
          </w:tcPr>
          <w:p w14:paraId="1E915225" w14:textId="77777777" w:rsidR="00EA211D" w:rsidRPr="007A55A2" w:rsidRDefault="00EA211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 xml:space="preserve">Projektu veids </w:t>
            </w:r>
          </w:p>
        </w:tc>
        <w:tc>
          <w:tcPr>
            <w:tcW w:w="1401" w:type="dxa"/>
            <w:vMerge w:val="restart"/>
            <w:vAlign w:val="center"/>
          </w:tcPr>
          <w:p w14:paraId="480912F5" w14:textId="77777777" w:rsidR="00EA211D" w:rsidRPr="007A55A2" w:rsidRDefault="00EA211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Dokuments, kas nosaka netiešās izmaksas</w:t>
            </w:r>
          </w:p>
        </w:tc>
        <w:tc>
          <w:tcPr>
            <w:tcW w:w="4342" w:type="dxa"/>
            <w:gridSpan w:val="3"/>
          </w:tcPr>
          <w:p w14:paraId="1F291FB7" w14:textId="77777777" w:rsidR="00EA211D" w:rsidRPr="007A55A2" w:rsidRDefault="00EA211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Netiešās izmaksas noteiktas kā daļa no</w:t>
            </w:r>
          </w:p>
        </w:tc>
      </w:tr>
      <w:tr w:rsidR="007A55A2" w:rsidRPr="007A55A2" w14:paraId="493A7AEB" w14:textId="77777777" w:rsidTr="009638BD">
        <w:trPr>
          <w:cantSplit/>
          <w:trHeight w:val="1134"/>
          <w:jc w:val="center"/>
        </w:trPr>
        <w:tc>
          <w:tcPr>
            <w:tcW w:w="473" w:type="dxa"/>
            <w:vMerge/>
            <w:textDirection w:val="btLr"/>
          </w:tcPr>
          <w:p w14:paraId="64F4FB5C" w14:textId="77777777" w:rsidR="00EA211D" w:rsidRPr="007A55A2" w:rsidRDefault="00EA211D" w:rsidP="006A7DA3">
            <w:pPr>
              <w:ind w:left="113" w:right="113"/>
              <w:jc w:val="both"/>
              <w:rPr>
                <w:rFonts w:ascii="Times New Roman" w:hAnsi="Times New Roman" w:cs="Times New Roman"/>
                <w:color w:val="000000" w:themeColor="text1"/>
                <w:sz w:val="20"/>
                <w:szCs w:val="20"/>
                <w:lang w:val="lv-LV"/>
              </w:rPr>
            </w:pPr>
          </w:p>
        </w:tc>
        <w:tc>
          <w:tcPr>
            <w:tcW w:w="494" w:type="dxa"/>
            <w:vMerge/>
            <w:textDirection w:val="btLr"/>
          </w:tcPr>
          <w:p w14:paraId="255BDF00" w14:textId="77777777" w:rsidR="00EA211D" w:rsidRPr="007A55A2" w:rsidRDefault="00EA211D" w:rsidP="006A7DA3">
            <w:pPr>
              <w:ind w:left="113" w:right="113"/>
              <w:jc w:val="both"/>
              <w:rPr>
                <w:rFonts w:ascii="Times New Roman" w:hAnsi="Times New Roman" w:cs="Times New Roman"/>
                <w:color w:val="000000" w:themeColor="text1"/>
                <w:sz w:val="20"/>
                <w:szCs w:val="20"/>
                <w:lang w:val="lv-LV"/>
              </w:rPr>
            </w:pPr>
          </w:p>
        </w:tc>
        <w:tc>
          <w:tcPr>
            <w:tcW w:w="1941" w:type="dxa"/>
            <w:vMerge/>
          </w:tcPr>
          <w:p w14:paraId="5086D007" w14:textId="77777777" w:rsidR="00EA211D" w:rsidRPr="007A55A2" w:rsidRDefault="00EA211D" w:rsidP="006A7DA3">
            <w:pPr>
              <w:jc w:val="both"/>
              <w:rPr>
                <w:rFonts w:ascii="Times New Roman" w:hAnsi="Times New Roman" w:cs="Times New Roman"/>
                <w:color w:val="000000" w:themeColor="text1"/>
                <w:sz w:val="20"/>
                <w:szCs w:val="20"/>
                <w:lang w:val="lv-LV"/>
              </w:rPr>
            </w:pPr>
          </w:p>
        </w:tc>
        <w:tc>
          <w:tcPr>
            <w:tcW w:w="1401" w:type="dxa"/>
            <w:vMerge/>
          </w:tcPr>
          <w:p w14:paraId="5EE76BE4" w14:textId="77777777" w:rsidR="00EA211D" w:rsidRPr="007A55A2" w:rsidRDefault="00EA211D" w:rsidP="006A7DA3">
            <w:pPr>
              <w:jc w:val="both"/>
              <w:rPr>
                <w:rFonts w:ascii="Times New Roman" w:hAnsi="Times New Roman" w:cs="Times New Roman"/>
                <w:color w:val="000000" w:themeColor="text1"/>
                <w:sz w:val="20"/>
                <w:szCs w:val="20"/>
                <w:lang w:val="lv-LV"/>
              </w:rPr>
            </w:pPr>
          </w:p>
        </w:tc>
        <w:tc>
          <w:tcPr>
            <w:tcW w:w="1402" w:type="dxa"/>
          </w:tcPr>
          <w:p w14:paraId="6F22F160" w14:textId="77777777" w:rsidR="00EA211D" w:rsidRPr="007A55A2" w:rsidRDefault="00EA211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tiešajām izmaksām</w:t>
            </w:r>
          </w:p>
        </w:tc>
        <w:tc>
          <w:tcPr>
            <w:tcW w:w="1676" w:type="dxa"/>
          </w:tcPr>
          <w:p w14:paraId="2A92F121" w14:textId="77777777" w:rsidR="00EA211D" w:rsidRPr="007A55A2" w:rsidRDefault="00EA211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tiešajām izmaksām, izņemot ārējo pakalpojumu izmaksas</w:t>
            </w:r>
          </w:p>
        </w:tc>
        <w:tc>
          <w:tcPr>
            <w:tcW w:w="1264" w:type="dxa"/>
          </w:tcPr>
          <w:p w14:paraId="62393F33" w14:textId="77777777" w:rsidR="00EA211D" w:rsidRPr="007A55A2" w:rsidRDefault="00EA211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atlīdzības izmaksām</w:t>
            </w:r>
          </w:p>
        </w:tc>
      </w:tr>
      <w:tr w:rsidR="007A55A2" w:rsidRPr="007A55A2" w14:paraId="6D556999" w14:textId="77777777" w:rsidTr="009638BD">
        <w:trPr>
          <w:jc w:val="center"/>
        </w:trPr>
        <w:tc>
          <w:tcPr>
            <w:tcW w:w="473" w:type="dxa"/>
            <w:vMerge w:val="restart"/>
            <w:vAlign w:val="center"/>
          </w:tcPr>
          <w:p w14:paraId="638A58B8" w14:textId="77777777" w:rsidR="009638BD" w:rsidRPr="007A55A2" w:rsidRDefault="009638B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w:t>
            </w:r>
          </w:p>
        </w:tc>
        <w:tc>
          <w:tcPr>
            <w:tcW w:w="494" w:type="dxa"/>
            <w:vMerge w:val="restart"/>
            <w:vAlign w:val="center"/>
          </w:tcPr>
          <w:p w14:paraId="4D7A7265" w14:textId="77777777" w:rsidR="009638BD" w:rsidRPr="007A55A2" w:rsidRDefault="009638B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VB</w:t>
            </w:r>
          </w:p>
        </w:tc>
        <w:tc>
          <w:tcPr>
            <w:tcW w:w="1941" w:type="dxa"/>
            <w:shd w:val="clear" w:color="auto" w:fill="D9D9D9" w:themeFill="background1" w:themeFillShade="D9"/>
          </w:tcPr>
          <w:p w14:paraId="6D836794" w14:textId="77777777" w:rsidR="009638BD" w:rsidRPr="007A55A2" w:rsidRDefault="009638BD" w:rsidP="006A7DA3">
            <w:pP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 xml:space="preserve">VPP </w:t>
            </w:r>
            <w:r w:rsidRPr="007A55A2">
              <w:rPr>
                <w:rFonts w:ascii="Times New Roman" w:hAnsi="Times New Roman" w:cs="Times New Roman"/>
                <w:color w:val="000000" w:themeColor="text1"/>
                <w:sz w:val="20"/>
                <w:szCs w:val="20"/>
                <w:lang w:val="lv-LV"/>
              </w:rPr>
              <w:br/>
              <w:t>līdz 08.06.2023</w:t>
            </w:r>
          </w:p>
        </w:tc>
        <w:tc>
          <w:tcPr>
            <w:tcW w:w="1401" w:type="dxa"/>
            <w:shd w:val="clear" w:color="auto" w:fill="D9D9D9" w:themeFill="background1" w:themeFillShade="D9"/>
          </w:tcPr>
          <w:p w14:paraId="65297F44" w14:textId="77777777" w:rsidR="009638BD" w:rsidRPr="007A55A2" w:rsidRDefault="009638B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MK noteikumi</w:t>
            </w:r>
          </w:p>
        </w:tc>
        <w:tc>
          <w:tcPr>
            <w:tcW w:w="1402" w:type="dxa"/>
            <w:shd w:val="clear" w:color="auto" w:fill="D9D9D9" w:themeFill="background1" w:themeFillShade="D9"/>
          </w:tcPr>
          <w:p w14:paraId="04044021" w14:textId="77777777" w:rsidR="009638BD" w:rsidRPr="007A55A2" w:rsidRDefault="009638BD" w:rsidP="006A7DA3">
            <w:pPr>
              <w:jc w:val="right"/>
              <w:rPr>
                <w:rFonts w:ascii="Times New Roman" w:hAnsi="Times New Roman" w:cs="Times New Roman"/>
                <w:color w:val="000000" w:themeColor="text1"/>
                <w:sz w:val="20"/>
                <w:szCs w:val="20"/>
                <w:lang w:val="lv-LV"/>
              </w:rPr>
            </w:pPr>
            <w:r w:rsidRPr="007A55A2">
              <w:rPr>
                <w:rFonts w:ascii="Times New Roman" w:hAnsi="Times New Roman" w:cs="Times New Roman"/>
                <w:noProof/>
                <w:color w:val="000000" w:themeColor="text1"/>
                <w:sz w:val="20"/>
                <w:szCs w:val="20"/>
                <w:lang w:val="lv-LV"/>
              </w:rPr>
              <mc:AlternateContent>
                <mc:Choice Requires="wps">
                  <w:drawing>
                    <wp:anchor distT="0" distB="0" distL="114300" distR="114300" simplePos="0" relativeHeight="251673600" behindDoc="0" locked="0" layoutInCell="1" allowOverlap="1" wp14:anchorId="6492619B" wp14:editId="5EB75917">
                      <wp:simplePos x="0" y="0"/>
                      <wp:positionH relativeFrom="column">
                        <wp:posOffset>-52942</wp:posOffset>
                      </wp:positionH>
                      <wp:positionV relativeFrom="paragraph">
                        <wp:posOffset>12548</wp:posOffset>
                      </wp:positionV>
                      <wp:extent cx="450000" cy="129600"/>
                      <wp:effectExtent l="0" t="0" r="26670" b="22860"/>
                      <wp:wrapNone/>
                      <wp:docPr id="1876437033" name="Rectangle 3"/>
                      <wp:cNvGraphicFramePr/>
                      <a:graphic xmlns:a="http://schemas.openxmlformats.org/drawingml/2006/main">
                        <a:graphicData uri="http://schemas.microsoft.com/office/word/2010/wordprocessingShape">
                          <wps:wsp>
                            <wps:cNvSpPr/>
                            <wps:spPr>
                              <a:xfrm>
                                <a:off x="0" y="0"/>
                                <a:ext cx="450000" cy="12960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FB50C" id="Rectangle 3" o:spid="_x0000_s1026" style="position:absolute;margin-left:-4.15pt;margin-top:1pt;width:35.45pt;height:1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" fillcolor="#0070c0" strokecolor="#0070c0" strokeweight="1pt"/>
                  </w:pict>
                </mc:Fallback>
              </mc:AlternateContent>
            </w:r>
            <w:r w:rsidRPr="007A55A2">
              <w:rPr>
                <w:rFonts w:ascii="Times New Roman" w:hAnsi="Times New Roman" w:cs="Times New Roman"/>
                <w:color w:val="000000" w:themeColor="text1"/>
                <w:sz w:val="20"/>
                <w:szCs w:val="20"/>
                <w:lang w:val="lv-LV"/>
              </w:rPr>
              <w:t>25%</w:t>
            </w:r>
          </w:p>
        </w:tc>
        <w:tc>
          <w:tcPr>
            <w:tcW w:w="1676" w:type="dxa"/>
            <w:shd w:val="clear" w:color="auto" w:fill="D9D9D9" w:themeFill="background1" w:themeFillShade="D9"/>
          </w:tcPr>
          <w:p w14:paraId="321CDF19" w14:textId="77777777" w:rsidR="009638BD" w:rsidRPr="007A55A2" w:rsidRDefault="009638BD" w:rsidP="006A7DA3">
            <w:pPr>
              <w:jc w:val="right"/>
              <w:rPr>
                <w:rFonts w:ascii="Times New Roman" w:hAnsi="Times New Roman" w:cs="Times New Roman"/>
                <w:color w:val="000000" w:themeColor="text1"/>
                <w:sz w:val="20"/>
                <w:szCs w:val="20"/>
                <w:lang w:val="lv-LV"/>
              </w:rPr>
            </w:pPr>
          </w:p>
        </w:tc>
        <w:tc>
          <w:tcPr>
            <w:tcW w:w="1264" w:type="dxa"/>
            <w:shd w:val="clear" w:color="auto" w:fill="D9D9D9" w:themeFill="background1" w:themeFillShade="D9"/>
          </w:tcPr>
          <w:p w14:paraId="18A782E6" w14:textId="77777777" w:rsidR="009638BD" w:rsidRPr="007A55A2" w:rsidRDefault="009638BD" w:rsidP="006A7DA3">
            <w:pPr>
              <w:jc w:val="right"/>
              <w:rPr>
                <w:rFonts w:ascii="Times New Roman" w:hAnsi="Times New Roman" w:cs="Times New Roman"/>
                <w:color w:val="000000" w:themeColor="text1"/>
                <w:sz w:val="20"/>
                <w:szCs w:val="20"/>
                <w:lang w:val="lv-LV"/>
              </w:rPr>
            </w:pPr>
          </w:p>
        </w:tc>
      </w:tr>
      <w:tr w:rsidR="007A55A2" w:rsidRPr="007A55A2" w14:paraId="1870235B" w14:textId="77777777" w:rsidTr="009638BD">
        <w:trPr>
          <w:jc w:val="center"/>
        </w:trPr>
        <w:tc>
          <w:tcPr>
            <w:tcW w:w="473" w:type="dxa"/>
            <w:vMerge/>
          </w:tcPr>
          <w:p w14:paraId="00C10DB2" w14:textId="77777777" w:rsidR="009638BD" w:rsidRPr="007A55A2" w:rsidRDefault="009638BD" w:rsidP="006A7DA3">
            <w:pPr>
              <w:jc w:val="both"/>
              <w:rPr>
                <w:rFonts w:ascii="Times New Roman" w:hAnsi="Times New Roman" w:cs="Times New Roman"/>
                <w:color w:val="000000" w:themeColor="text1"/>
                <w:sz w:val="20"/>
                <w:szCs w:val="20"/>
                <w:lang w:val="lv-LV"/>
              </w:rPr>
            </w:pPr>
          </w:p>
        </w:tc>
        <w:tc>
          <w:tcPr>
            <w:tcW w:w="494" w:type="dxa"/>
            <w:vMerge/>
          </w:tcPr>
          <w:p w14:paraId="09370390" w14:textId="77777777" w:rsidR="009638BD" w:rsidRPr="007A55A2" w:rsidRDefault="009638BD" w:rsidP="006A7DA3">
            <w:pPr>
              <w:jc w:val="both"/>
              <w:rPr>
                <w:rFonts w:ascii="Times New Roman" w:hAnsi="Times New Roman" w:cs="Times New Roman"/>
                <w:color w:val="000000" w:themeColor="text1"/>
                <w:sz w:val="20"/>
                <w:szCs w:val="20"/>
                <w:lang w:val="lv-LV"/>
              </w:rPr>
            </w:pPr>
          </w:p>
        </w:tc>
        <w:tc>
          <w:tcPr>
            <w:tcW w:w="1941" w:type="dxa"/>
          </w:tcPr>
          <w:p w14:paraId="1E907100" w14:textId="77777777" w:rsidR="009638BD" w:rsidRPr="007A55A2" w:rsidRDefault="009638BD" w:rsidP="006A7DA3">
            <w:pP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 xml:space="preserve">VPP </w:t>
            </w:r>
            <w:r w:rsidRPr="007A55A2">
              <w:rPr>
                <w:rFonts w:ascii="Times New Roman" w:hAnsi="Times New Roman" w:cs="Times New Roman"/>
                <w:color w:val="000000" w:themeColor="text1"/>
                <w:sz w:val="20"/>
                <w:szCs w:val="20"/>
                <w:lang w:val="lv-LV"/>
              </w:rPr>
              <w:br/>
              <w:t>no 09.06.2023</w:t>
            </w:r>
            <w:r w:rsidRPr="007A55A2">
              <w:rPr>
                <w:rFonts w:ascii="Times New Roman" w:hAnsi="Times New Roman" w:cs="Times New Roman"/>
                <w:color w:val="000000" w:themeColor="text1"/>
                <w:sz w:val="20"/>
                <w:szCs w:val="20"/>
                <w:vertAlign w:val="superscript"/>
                <w:lang w:val="lv-LV"/>
              </w:rPr>
              <w:t>1</w:t>
            </w:r>
          </w:p>
        </w:tc>
        <w:tc>
          <w:tcPr>
            <w:tcW w:w="1401" w:type="dxa"/>
          </w:tcPr>
          <w:p w14:paraId="264BC922" w14:textId="77777777" w:rsidR="009638BD" w:rsidRPr="007A55A2" w:rsidRDefault="009638B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Nolikums</w:t>
            </w:r>
          </w:p>
        </w:tc>
        <w:tc>
          <w:tcPr>
            <w:tcW w:w="1402" w:type="dxa"/>
          </w:tcPr>
          <w:p w14:paraId="446FDB0E" w14:textId="77777777" w:rsidR="009638BD" w:rsidRPr="007A55A2" w:rsidRDefault="009638BD" w:rsidP="006A7DA3">
            <w:pPr>
              <w:jc w:val="both"/>
              <w:rPr>
                <w:rFonts w:ascii="Times New Roman" w:hAnsi="Times New Roman" w:cs="Times New Roman"/>
                <w:color w:val="000000" w:themeColor="text1"/>
                <w:sz w:val="20"/>
                <w:szCs w:val="20"/>
                <w:lang w:val="lv-LV"/>
              </w:rPr>
            </w:pPr>
          </w:p>
        </w:tc>
        <w:tc>
          <w:tcPr>
            <w:tcW w:w="1676" w:type="dxa"/>
          </w:tcPr>
          <w:p w14:paraId="1233850A" w14:textId="77777777" w:rsidR="009638BD" w:rsidRPr="007A55A2" w:rsidRDefault="009638BD" w:rsidP="006A7DA3">
            <w:pPr>
              <w:jc w:val="right"/>
              <w:rPr>
                <w:rFonts w:ascii="Times New Roman" w:hAnsi="Times New Roman" w:cs="Times New Roman"/>
                <w:color w:val="000000" w:themeColor="text1"/>
                <w:sz w:val="20"/>
                <w:szCs w:val="20"/>
                <w:lang w:val="lv-LV"/>
              </w:rPr>
            </w:pPr>
            <w:r w:rsidRPr="007A55A2">
              <w:rPr>
                <w:rFonts w:ascii="Times New Roman" w:hAnsi="Times New Roman" w:cs="Times New Roman"/>
                <w:noProof/>
                <w:color w:val="000000" w:themeColor="text1"/>
                <w:sz w:val="20"/>
                <w:szCs w:val="20"/>
                <w:lang w:val="lv-LV"/>
              </w:rPr>
              <mc:AlternateContent>
                <mc:Choice Requires="wps">
                  <w:drawing>
                    <wp:anchor distT="0" distB="0" distL="114300" distR="114300" simplePos="0" relativeHeight="251674624" behindDoc="0" locked="0" layoutInCell="1" allowOverlap="1" wp14:anchorId="3AE1A2C5" wp14:editId="7D2E2A1E">
                      <wp:simplePos x="0" y="0"/>
                      <wp:positionH relativeFrom="column">
                        <wp:posOffset>-34764</wp:posOffset>
                      </wp:positionH>
                      <wp:positionV relativeFrom="paragraph">
                        <wp:posOffset>10795</wp:posOffset>
                      </wp:positionV>
                      <wp:extent cx="270000" cy="129600"/>
                      <wp:effectExtent l="38100" t="0" r="15875" b="41910"/>
                      <wp:wrapNone/>
                      <wp:docPr id="1320567999" name="Right Triangle 4"/>
                      <wp:cNvGraphicFramePr/>
                      <a:graphic xmlns:a="http://schemas.openxmlformats.org/drawingml/2006/main">
                        <a:graphicData uri="http://schemas.microsoft.com/office/word/2010/wordprocessingShape">
                          <wps:wsp>
                            <wps:cNvSpPr/>
                            <wps:spPr>
                              <a:xfrm rot="10800000">
                                <a:off x="0" y="0"/>
                                <a:ext cx="270000" cy="129600"/>
                              </a:xfrm>
                              <a:prstGeom prst="rtTriangle">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D9392" id="_x0000_t6" coordsize="21600,21600" o:spt="6" path="m,l,21600r21600,xe">
                      <v:stroke joinstyle="miter"/>
                      <v:path gradientshapeok="t" o:connecttype="custom" o:connectlocs="0,0;0,10800;0,21600;10800,21600;21600,21600;10800,10800" textboxrect="1800,12600,12600,19800"/>
                    </v:shapetype>
                    <v:shape id="Right Triangle 4" o:spid="_x0000_s1026" type="#_x0000_t6" style="position:absolute;margin-left:-2.75pt;margin-top:.85pt;width:21.25pt;height:10.2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" fillcolor="#00b050" strokecolor="#00b050" strokeweight="1pt"/>
                  </w:pict>
                </mc:Fallback>
              </mc:AlternateContent>
            </w:r>
            <w:r w:rsidRPr="007A55A2">
              <w:rPr>
                <w:rFonts w:ascii="Times New Roman" w:hAnsi="Times New Roman" w:cs="Times New Roman"/>
                <w:color w:val="000000" w:themeColor="text1"/>
                <w:sz w:val="20"/>
                <w:szCs w:val="20"/>
                <w:lang w:val="lv-LV"/>
              </w:rPr>
              <w:t>līdz 15%</w:t>
            </w:r>
          </w:p>
        </w:tc>
        <w:tc>
          <w:tcPr>
            <w:tcW w:w="1264" w:type="dxa"/>
          </w:tcPr>
          <w:p w14:paraId="5D837D70" w14:textId="77777777" w:rsidR="009638BD" w:rsidRPr="007A55A2" w:rsidRDefault="009638BD" w:rsidP="006A7DA3">
            <w:pPr>
              <w:jc w:val="right"/>
              <w:rPr>
                <w:rFonts w:ascii="Times New Roman" w:hAnsi="Times New Roman" w:cs="Times New Roman"/>
                <w:color w:val="000000" w:themeColor="text1"/>
                <w:sz w:val="20"/>
                <w:szCs w:val="20"/>
                <w:lang w:val="lv-LV"/>
              </w:rPr>
            </w:pPr>
          </w:p>
        </w:tc>
      </w:tr>
      <w:tr w:rsidR="007A55A2" w:rsidRPr="007A55A2" w14:paraId="01D20EC7" w14:textId="77777777" w:rsidTr="009638BD">
        <w:trPr>
          <w:jc w:val="center"/>
        </w:trPr>
        <w:tc>
          <w:tcPr>
            <w:tcW w:w="473" w:type="dxa"/>
            <w:vMerge/>
          </w:tcPr>
          <w:p w14:paraId="21092297" w14:textId="77777777" w:rsidR="009638BD" w:rsidRPr="007A55A2" w:rsidRDefault="009638BD" w:rsidP="006A7DA3">
            <w:pPr>
              <w:jc w:val="both"/>
              <w:rPr>
                <w:rFonts w:ascii="Times New Roman" w:hAnsi="Times New Roman" w:cs="Times New Roman"/>
                <w:color w:val="000000" w:themeColor="text1"/>
                <w:sz w:val="20"/>
                <w:szCs w:val="20"/>
                <w:lang w:val="lv-LV"/>
              </w:rPr>
            </w:pPr>
          </w:p>
        </w:tc>
        <w:tc>
          <w:tcPr>
            <w:tcW w:w="494" w:type="dxa"/>
            <w:vMerge/>
          </w:tcPr>
          <w:p w14:paraId="7680CE19" w14:textId="77777777" w:rsidR="009638BD" w:rsidRPr="007A55A2" w:rsidRDefault="009638BD" w:rsidP="006A7DA3">
            <w:pPr>
              <w:jc w:val="both"/>
              <w:rPr>
                <w:rFonts w:ascii="Times New Roman" w:hAnsi="Times New Roman" w:cs="Times New Roman"/>
                <w:color w:val="000000" w:themeColor="text1"/>
                <w:sz w:val="20"/>
                <w:szCs w:val="20"/>
                <w:lang w:val="lv-LV"/>
              </w:rPr>
            </w:pPr>
          </w:p>
        </w:tc>
        <w:tc>
          <w:tcPr>
            <w:tcW w:w="1941" w:type="dxa"/>
          </w:tcPr>
          <w:p w14:paraId="466F8DB7" w14:textId="77777777" w:rsidR="009638BD" w:rsidRPr="007A55A2" w:rsidRDefault="009638BD" w:rsidP="006A7DA3">
            <w:pP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VPP LK – RVA</w:t>
            </w:r>
            <w:r w:rsidRPr="007A55A2">
              <w:rPr>
                <w:rFonts w:ascii="Times New Roman" w:hAnsi="Times New Roman" w:cs="Times New Roman"/>
                <w:color w:val="000000" w:themeColor="text1"/>
                <w:sz w:val="20"/>
                <w:szCs w:val="20"/>
                <w:vertAlign w:val="superscript"/>
                <w:lang w:val="lv-LV"/>
              </w:rPr>
              <w:t>2</w:t>
            </w:r>
          </w:p>
        </w:tc>
        <w:tc>
          <w:tcPr>
            <w:tcW w:w="1401" w:type="dxa"/>
          </w:tcPr>
          <w:p w14:paraId="409C9067" w14:textId="77777777" w:rsidR="009638BD" w:rsidRPr="007A55A2" w:rsidRDefault="009638B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Nolikums</w:t>
            </w:r>
          </w:p>
        </w:tc>
        <w:tc>
          <w:tcPr>
            <w:tcW w:w="1402" w:type="dxa"/>
          </w:tcPr>
          <w:p w14:paraId="515CA0F9" w14:textId="77777777" w:rsidR="009638BD" w:rsidRPr="007A55A2" w:rsidRDefault="009638BD" w:rsidP="006A7DA3">
            <w:pPr>
              <w:jc w:val="both"/>
              <w:rPr>
                <w:rFonts w:ascii="Times New Roman" w:hAnsi="Times New Roman" w:cs="Times New Roman"/>
                <w:color w:val="000000" w:themeColor="text1"/>
                <w:sz w:val="20"/>
                <w:szCs w:val="20"/>
                <w:lang w:val="lv-LV"/>
              </w:rPr>
            </w:pPr>
          </w:p>
        </w:tc>
        <w:tc>
          <w:tcPr>
            <w:tcW w:w="1676" w:type="dxa"/>
          </w:tcPr>
          <w:p w14:paraId="69985D53" w14:textId="77777777" w:rsidR="009638BD" w:rsidRPr="007A55A2" w:rsidRDefault="009638BD" w:rsidP="006A7DA3">
            <w:pPr>
              <w:jc w:val="right"/>
              <w:rPr>
                <w:rFonts w:ascii="Times New Roman" w:hAnsi="Times New Roman" w:cs="Times New Roman"/>
                <w:color w:val="000000" w:themeColor="text1"/>
                <w:sz w:val="20"/>
                <w:szCs w:val="20"/>
                <w:lang w:val="lv-LV"/>
              </w:rPr>
            </w:pPr>
          </w:p>
        </w:tc>
        <w:tc>
          <w:tcPr>
            <w:tcW w:w="1264" w:type="dxa"/>
          </w:tcPr>
          <w:p w14:paraId="1541366F" w14:textId="77777777" w:rsidR="009638BD" w:rsidRPr="007A55A2" w:rsidRDefault="009638BD" w:rsidP="006A7DA3">
            <w:pPr>
              <w:jc w:val="right"/>
              <w:rPr>
                <w:rFonts w:ascii="Times New Roman" w:hAnsi="Times New Roman" w:cs="Times New Roman"/>
                <w:color w:val="000000" w:themeColor="text1"/>
                <w:sz w:val="20"/>
                <w:szCs w:val="20"/>
                <w:lang w:val="lv-LV"/>
              </w:rPr>
            </w:pPr>
            <w:r w:rsidRPr="007A55A2">
              <w:rPr>
                <w:rFonts w:ascii="Times New Roman" w:hAnsi="Times New Roman" w:cs="Times New Roman"/>
                <w:noProof/>
                <w:color w:val="000000" w:themeColor="text1"/>
                <w:sz w:val="20"/>
                <w:szCs w:val="20"/>
                <w:lang w:val="lv-LV"/>
              </w:rPr>
              <mc:AlternateContent>
                <mc:Choice Requires="wps">
                  <w:drawing>
                    <wp:anchor distT="0" distB="0" distL="114300" distR="114300" simplePos="0" relativeHeight="251678720" behindDoc="0" locked="0" layoutInCell="1" allowOverlap="1" wp14:anchorId="6F12B6D5" wp14:editId="3BFD05FC">
                      <wp:simplePos x="0" y="0"/>
                      <wp:positionH relativeFrom="column">
                        <wp:posOffset>-48260</wp:posOffset>
                      </wp:positionH>
                      <wp:positionV relativeFrom="paragraph">
                        <wp:posOffset>13809</wp:posOffset>
                      </wp:positionV>
                      <wp:extent cx="269875" cy="129540"/>
                      <wp:effectExtent l="0" t="0" r="15875" b="22860"/>
                      <wp:wrapNone/>
                      <wp:docPr id="1470139139" name="Rectangle 3"/>
                      <wp:cNvGraphicFramePr/>
                      <a:graphic xmlns:a="http://schemas.openxmlformats.org/drawingml/2006/main">
                        <a:graphicData uri="http://schemas.microsoft.com/office/word/2010/wordprocessingShape">
                          <wps:wsp>
                            <wps:cNvSpPr/>
                            <wps:spPr>
                              <a:xfrm>
                                <a:off x="0" y="0"/>
                                <a:ext cx="269875" cy="129540"/>
                              </a:xfrm>
                              <a:prstGeom prst="rect">
                                <a:avLst/>
                              </a:prstGeom>
                              <a:solidFill>
                                <a:schemeClr val="accent2">
                                  <a:lumMod val="75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1FDD9" id="Rectangle 3" o:spid="_x0000_s1026" style="position:absolute;margin-left:-3.8pt;margin-top:1.1pt;width:21.25pt;height:1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" fillcolor="#bf4e14 [2405]" strokecolor="#bf4e14 [2405]" strokeweight="1pt"/>
                  </w:pict>
                </mc:Fallback>
              </mc:AlternateContent>
            </w:r>
            <w:r w:rsidRPr="007A55A2">
              <w:rPr>
                <w:rFonts w:ascii="Times New Roman" w:hAnsi="Times New Roman" w:cs="Times New Roman"/>
                <w:color w:val="000000" w:themeColor="text1"/>
                <w:sz w:val="20"/>
                <w:szCs w:val="20"/>
                <w:lang w:val="lv-LV"/>
              </w:rPr>
              <w:t>15%</w:t>
            </w:r>
          </w:p>
        </w:tc>
      </w:tr>
      <w:tr w:rsidR="007A55A2" w:rsidRPr="007A55A2" w14:paraId="53581427" w14:textId="77777777" w:rsidTr="009638BD">
        <w:trPr>
          <w:jc w:val="center"/>
        </w:trPr>
        <w:tc>
          <w:tcPr>
            <w:tcW w:w="473" w:type="dxa"/>
            <w:vMerge/>
          </w:tcPr>
          <w:p w14:paraId="55F1F778" w14:textId="77777777" w:rsidR="002D50EC" w:rsidRPr="007A55A2" w:rsidRDefault="002D50EC" w:rsidP="006A7DA3">
            <w:pPr>
              <w:jc w:val="both"/>
              <w:rPr>
                <w:rFonts w:ascii="Times New Roman" w:hAnsi="Times New Roman" w:cs="Times New Roman"/>
                <w:color w:val="000000" w:themeColor="text1"/>
                <w:sz w:val="20"/>
                <w:szCs w:val="20"/>
                <w:lang w:val="lv-LV"/>
              </w:rPr>
            </w:pPr>
          </w:p>
        </w:tc>
        <w:tc>
          <w:tcPr>
            <w:tcW w:w="494" w:type="dxa"/>
            <w:vMerge/>
          </w:tcPr>
          <w:p w14:paraId="3EAF8917" w14:textId="77777777" w:rsidR="002D50EC" w:rsidRPr="007A55A2" w:rsidRDefault="002D50EC" w:rsidP="006A7DA3">
            <w:pPr>
              <w:jc w:val="both"/>
              <w:rPr>
                <w:rFonts w:ascii="Times New Roman" w:hAnsi="Times New Roman" w:cs="Times New Roman"/>
                <w:color w:val="000000" w:themeColor="text1"/>
                <w:sz w:val="20"/>
                <w:szCs w:val="20"/>
                <w:lang w:val="lv-LV"/>
              </w:rPr>
            </w:pPr>
          </w:p>
        </w:tc>
        <w:tc>
          <w:tcPr>
            <w:tcW w:w="1941" w:type="dxa"/>
            <w:shd w:val="clear" w:color="auto" w:fill="D9D9D9" w:themeFill="background1" w:themeFillShade="D9"/>
          </w:tcPr>
          <w:p w14:paraId="6F2B10AB" w14:textId="1D6985CF" w:rsidR="002D50EC" w:rsidRPr="007A55A2" w:rsidRDefault="006A6CE8" w:rsidP="006A7DA3">
            <w:pP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Ilgtermiņa</w:t>
            </w:r>
            <w:r w:rsidR="005D2146" w:rsidRPr="007A55A2">
              <w:rPr>
                <w:rFonts w:ascii="Times New Roman" w:hAnsi="Times New Roman" w:cs="Times New Roman"/>
                <w:color w:val="000000" w:themeColor="text1"/>
                <w:sz w:val="20"/>
                <w:szCs w:val="20"/>
                <w:lang w:val="lv-LV"/>
              </w:rPr>
              <w:t xml:space="preserve"> VPP</w:t>
            </w:r>
          </w:p>
        </w:tc>
        <w:tc>
          <w:tcPr>
            <w:tcW w:w="1401" w:type="dxa"/>
            <w:shd w:val="clear" w:color="auto" w:fill="D9D9D9" w:themeFill="background1" w:themeFillShade="D9"/>
          </w:tcPr>
          <w:p w14:paraId="622B5DBD" w14:textId="44D2AE37" w:rsidR="002D50EC" w:rsidRPr="007A55A2" w:rsidRDefault="005D2146"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Nolikums</w:t>
            </w:r>
          </w:p>
        </w:tc>
        <w:tc>
          <w:tcPr>
            <w:tcW w:w="1402" w:type="dxa"/>
            <w:shd w:val="clear" w:color="auto" w:fill="D9D9D9" w:themeFill="background1" w:themeFillShade="D9"/>
          </w:tcPr>
          <w:p w14:paraId="34B811F9" w14:textId="77777777" w:rsidR="002D50EC" w:rsidRPr="007A55A2" w:rsidRDefault="002D50EC" w:rsidP="006A7DA3">
            <w:pPr>
              <w:jc w:val="right"/>
              <w:rPr>
                <w:rFonts w:ascii="Times New Roman" w:hAnsi="Times New Roman" w:cs="Times New Roman"/>
                <w:noProof/>
                <w:color w:val="000000" w:themeColor="text1"/>
                <w:sz w:val="20"/>
                <w:szCs w:val="20"/>
                <w:lang w:val="lv-LV"/>
              </w:rPr>
            </w:pPr>
          </w:p>
        </w:tc>
        <w:tc>
          <w:tcPr>
            <w:tcW w:w="1676" w:type="dxa"/>
            <w:shd w:val="clear" w:color="auto" w:fill="D9D9D9" w:themeFill="background1" w:themeFillShade="D9"/>
          </w:tcPr>
          <w:p w14:paraId="14965008" w14:textId="60BFB00C" w:rsidR="002D50EC" w:rsidRPr="007A55A2" w:rsidRDefault="005D2146" w:rsidP="006A7DA3">
            <w:pPr>
              <w:jc w:val="right"/>
              <w:rPr>
                <w:rFonts w:ascii="Times New Roman" w:hAnsi="Times New Roman" w:cs="Times New Roman"/>
                <w:color w:val="000000" w:themeColor="text1"/>
                <w:sz w:val="20"/>
                <w:szCs w:val="20"/>
                <w:lang w:val="lv-LV"/>
              </w:rPr>
            </w:pPr>
            <w:r w:rsidRPr="007A55A2">
              <w:rPr>
                <w:rFonts w:ascii="Times New Roman" w:hAnsi="Times New Roman" w:cs="Times New Roman"/>
                <w:noProof/>
                <w:color w:val="000000" w:themeColor="text1"/>
                <w:sz w:val="20"/>
                <w:szCs w:val="20"/>
                <w:lang w:val="lv-LV"/>
              </w:rPr>
              <mc:AlternateContent>
                <mc:Choice Requires="wps">
                  <w:drawing>
                    <wp:anchor distT="0" distB="0" distL="114300" distR="114300" simplePos="0" relativeHeight="251658752" behindDoc="0" locked="0" layoutInCell="1" allowOverlap="1" wp14:anchorId="34D19B85" wp14:editId="68480B04">
                      <wp:simplePos x="0" y="0"/>
                      <wp:positionH relativeFrom="column">
                        <wp:posOffset>-5080</wp:posOffset>
                      </wp:positionH>
                      <wp:positionV relativeFrom="page">
                        <wp:posOffset>3175</wp:posOffset>
                      </wp:positionV>
                      <wp:extent cx="450000" cy="129600"/>
                      <wp:effectExtent l="38100" t="0" r="26670" b="41910"/>
                      <wp:wrapNone/>
                      <wp:docPr id="2075635934" name="Right Triangle 4"/>
                      <wp:cNvGraphicFramePr/>
                      <a:graphic xmlns:a="http://schemas.openxmlformats.org/drawingml/2006/main">
                        <a:graphicData uri="http://schemas.microsoft.com/office/word/2010/wordprocessingShape">
                          <wps:wsp>
                            <wps:cNvSpPr/>
                            <wps:spPr>
                              <a:xfrm rot="10800000">
                                <a:off x="0" y="0"/>
                                <a:ext cx="450000" cy="129600"/>
                              </a:xfrm>
                              <a:prstGeom prst="rtTriangle">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8CC3D" id="Right Triangle 4" o:spid="_x0000_s1026" type="#_x0000_t6" style="position:absolute;margin-left:-.4pt;margin-top:.25pt;width:35.45pt;height:10.2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" fillcolor="#00b050" strokecolor="#00b050" strokeweight="1pt">
                      <w10:wrap anchory="page"/>
                    </v:shape>
                  </w:pict>
                </mc:Fallback>
              </mc:AlternateContent>
            </w:r>
            <w:r w:rsidRPr="007A55A2">
              <w:rPr>
                <w:rFonts w:ascii="Times New Roman" w:hAnsi="Times New Roman" w:cs="Times New Roman"/>
                <w:color w:val="000000" w:themeColor="text1"/>
                <w:sz w:val="20"/>
                <w:szCs w:val="20"/>
                <w:lang w:val="lv-LV"/>
              </w:rPr>
              <w:t>līdz 25%</w:t>
            </w:r>
          </w:p>
        </w:tc>
        <w:tc>
          <w:tcPr>
            <w:tcW w:w="1264" w:type="dxa"/>
            <w:shd w:val="clear" w:color="auto" w:fill="D9D9D9" w:themeFill="background1" w:themeFillShade="D9"/>
          </w:tcPr>
          <w:p w14:paraId="6588FCD3" w14:textId="77777777" w:rsidR="002D50EC" w:rsidRPr="007A55A2" w:rsidRDefault="002D50EC" w:rsidP="006A7DA3">
            <w:pPr>
              <w:jc w:val="right"/>
              <w:rPr>
                <w:rFonts w:ascii="Times New Roman" w:hAnsi="Times New Roman" w:cs="Times New Roman"/>
                <w:color w:val="000000" w:themeColor="text1"/>
                <w:sz w:val="20"/>
                <w:szCs w:val="20"/>
                <w:lang w:val="lv-LV"/>
              </w:rPr>
            </w:pPr>
          </w:p>
        </w:tc>
      </w:tr>
      <w:tr w:rsidR="007A55A2" w:rsidRPr="007A55A2" w14:paraId="635473EB" w14:textId="77777777" w:rsidTr="009638BD">
        <w:trPr>
          <w:jc w:val="center"/>
        </w:trPr>
        <w:tc>
          <w:tcPr>
            <w:tcW w:w="473" w:type="dxa"/>
            <w:vMerge/>
          </w:tcPr>
          <w:p w14:paraId="728DA296" w14:textId="77777777" w:rsidR="009638BD" w:rsidRPr="007A55A2" w:rsidRDefault="009638BD" w:rsidP="006A7DA3">
            <w:pPr>
              <w:jc w:val="both"/>
              <w:rPr>
                <w:rFonts w:ascii="Times New Roman" w:hAnsi="Times New Roman" w:cs="Times New Roman"/>
                <w:color w:val="000000" w:themeColor="text1"/>
                <w:sz w:val="20"/>
                <w:szCs w:val="20"/>
                <w:lang w:val="lv-LV"/>
              </w:rPr>
            </w:pPr>
          </w:p>
        </w:tc>
        <w:tc>
          <w:tcPr>
            <w:tcW w:w="494" w:type="dxa"/>
            <w:vMerge/>
          </w:tcPr>
          <w:p w14:paraId="3EA33A79" w14:textId="77777777" w:rsidR="009638BD" w:rsidRPr="007A55A2" w:rsidRDefault="009638BD" w:rsidP="006A7DA3">
            <w:pPr>
              <w:jc w:val="both"/>
              <w:rPr>
                <w:rFonts w:ascii="Times New Roman" w:hAnsi="Times New Roman" w:cs="Times New Roman"/>
                <w:color w:val="000000" w:themeColor="text1"/>
                <w:sz w:val="20"/>
                <w:szCs w:val="20"/>
                <w:lang w:val="lv-LV"/>
              </w:rPr>
            </w:pPr>
          </w:p>
        </w:tc>
        <w:tc>
          <w:tcPr>
            <w:tcW w:w="1941" w:type="dxa"/>
            <w:shd w:val="clear" w:color="auto" w:fill="D9D9D9" w:themeFill="background1" w:themeFillShade="D9"/>
          </w:tcPr>
          <w:p w14:paraId="1707069B" w14:textId="77777777" w:rsidR="009638BD" w:rsidRPr="007A55A2" w:rsidRDefault="009638BD" w:rsidP="006A7DA3">
            <w:pP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FLPP no 2018/1</w:t>
            </w:r>
          </w:p>
        </w:tc>
        <w:tc>
          <w:tcPr>
            <w:tcW w:w="1401" w:type="dxa"/>
            <w:shd w:val="clear" w:color="auto" w:fill="D9D9D9" w:themeFill="background1" w:themeFillShade="D9"/>
          </w:tcPr>
          <w:p w14:paraId="03952933" w14:textId="77777777" w:rsidR="009638BD" w:rsidRPr="007A55A2" w:rsidRDefault="009638B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Nolikums</w:t>
            </w:r>
          </w:p>
        </w:tc>
        <w:tc>
          <w:tcPr>
            <w:tcW w:w="1402" w:type="dxa"/>
            <w:shd w:val="clear" w:color="auto" w:fill="D9D9D9" w:themeFill="background1" w:themeFillShade="D9"/>
          </w:tcPr>
          <w:p w14:paraId="0C5A488C" w14:textId="77777777" w:rsidR="009638BD" w:rsidRPr="007A55A2" w:rsidRDefault="009638BD" w:rsidP="006A7DA3">
            <w:pPr>
              <w:jc w:val="right"/>
              <w:rPr>
                <w:rFonts w:ascii="Times New Roman" w:hAnsi="Times New Roman" w:cs="Times New Roman"/>
                <w:color w:val="000000" w:themeColor="text1"/>
                <w:sz w:val="20"/>
                <w:szCs w:val="20"/>
                <w:lang w:val="lv-LV"/>
              </w:rPr>
            </w:pPr>
            <w:r w:rsidRPr="007A55A2">
              <w:rPr>
                <w:rFonts w:ascii="Times New Roman" w:hAnsi="Times New Roman" w:cs="Times New Roman"/>
                <w:noProof/>
                <w:color w:val="000000" w:themeColor="text1"/>
                <w:sz w:val="20"/>
                <w:szCs w:val="20"/>
                <w:lang w:val="lv-LV"/>
              </w:rPr>
              <mc:AlternateContent>
                <mc:Choice Requires="wps">
                  <w:drawing>
                    <wp:anchor distT="0" distB="0" distL="114300" distR="114300" simplePos="0" relativeHeight="251675648" behindDoc="0" locked="0" layoutInCell="1" allowOverlap="1" wp14:anchorId="74DB7115" wp14:editId="218E18FC">
                      <wp:simplePos x="0" y="0"/>
                      <wp:positionH relativeFrom="column">
                        <wp:posOffset>-44611</wp:posOffset>
                      </wp:positionH>
                      <wp:positionV relativeFrom="paragraph">
                        <wp:posOffset>10160</wp:posOffset>
                      </wp:positionV>
                      <wp:extent cx="180000" cy="129600"/>
                      <wp:effectExtent l="19050" t="0" r="10795" b="41910"/>
                      <wp:wrapNone/>
                      <wp:docPr id="269956750" name="Right Triangle 4"/>
                      <wp:cNvGraphicFramePr/>
                      <a:graphic xmlns:a="http://schemas.openxmlformats.org/drawingml/2006/main">
                        <a:graphicData uri="http://schemas.microsoft.com/office/word/2010/wordprocessingShape">
                          <wps:wsp>
                            <wps:cNvSpPr/>
                            <wps:spPr>
                              <a:xfrm rot="10800000">
                                <a:off x="0" y="0"/>
                                <a:ext cx="180000" cy="129600"/>
                              </a:xfrm>
                              <a:prstGeom prst="rtTriangle">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47E7A" id="Right Triangle 4" o:spid="_x0000_s1026" type="#_x0000_t6" style="position:absolute;margin-left:-3.5pt;margin-top:.8pt;width:14.15pt;height:10.2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" fillcolor="#0070c0" strokecolor="#0070c0" strokeweight="1pt"/>
                  </w:pict>
                </mc:Fallback>
              </mc:AlternateContent>
            </w:r>
            <w:r w:rsidRPr="007A55A2">
              <w:rPr>
                <w:rFonts w:ascii="Times New Roman" w:hAnsi="Times New Roman" w:cs="Times New Roman"/>
                <w:color w:val="000000" w:themeColor="text1"/>
                <w:sz w:val="20"/>
                <w:szCs w:val="20"/>
                <w:lang w:val="lv-LV"/>
              </w:rPr>
              <w:t>līdz 10%</w:t>
            </w:r>
          </w:p>
        </w:tc>
        <w:tc>
          <w:tcPr>
            <w:tcW w:w="1676" w:type="dxa"/>
            <w:shd w:val="clear" w:color="auto" w:fill="D9D9D9" w:themeFill="background1" w:themeFillShade="D9"/>
          </w:tcPr>
          <w:p w14:paraId="7E9DCD1E" w14:textId="77777777" w:rsidR="009638BD" w:rsidRPr="007A55A2" w:rsidRDefault="009638BD" w:rsidP="006A7DA3">
            <w:pPr>
              <w:jc w:val="right"/>
              <w:rPr>
                <w:rFonts w:ascii="Times New Roman" w:hAnsi="Times New Roman" w:cs="Times New Roman"/>
                <w:color w:val="000000" w:themeColor="text1"/>
                <w:sz w:val="20"/>
                <w:szCs w:val="20"/>
                <w:lang w:val="lv-LV"/>
              </w:rPr>
            </w:pPr>
          </w:p>
        </w:tc>
        <w:tc>
          <w:tcPr>
            <w:tcW w:w="1264" w:type="dxa"/>
            <w:shd w:val="clear" w:color="auto" w:fill="D9D9D9" w:themeFill="background1" w:themeFillShade="D9"/>
          </w:tcPr>
          <w:p w14:paraId="06D2E2D3" w14:textId="77777777" w:rsidR="009638BD" w:rsidRPr="007A55A2" w:rsidRDefault="009638BD" w:rsidP="006A7DA3">
            <w:pPr>
              <w:jc w:val="right"/>
              <w:rPr>
                <w:rFonts w:ascii="Times New Roman" w:hAnsi="Times New Roman" w:cs="Times New Roman"/>
                <w:color w:val="000000" w:themeColor="text1"/>
                <w:sz w:val="20"/>
                <w:szCs w:val="20"/>
                <w:lang w:val="lv-LV"/>
              </w:rPr>
            </w:pPr>
          </w:p>
        </w:tc>
      </w:tr>
      <w:tr w:rsidR="007A55A2" w:rsidRPr="007A55A2" w14:paraId="1D94F828" w14:textId="77777777" w:rsidTr="009638BD">
        <w:trPr>
          <w:jc w:val="center"/>
        </w:trPr>
        <w:tc>
          <w:tcPr>
            <w:tcW w:w="473" w:type="dxa"/>
            <w:vMerge/>
          </w:tcPr>
          <w:p w14:paraId="39EFF236" w14:textId="77777777" w:rsidR="009638BD" w:rsidRPr="007A55A2" w:rsidRDefault="009638BD" w:rsidP="006A7DA3">
            <w:pPr>
              <w:jc w:val="both"/>
              <w:rPr>
                <w:rFonts w:ascii="Times New Roman" w:hAnsi="Times New Roman" w:cs="Times New Roman"/>
                <w:color w:val="000000" w:themeColor="text1"/>
                <w:sz w:val="20"/>
                <w:szCs w:val="20"/>
                <w:lang w:val="lv-LV"/>
              </w:rPr>
            </w:pPr>
          </w:p>
        </w:tc>
        <w:tc>
          <w:tcPr>
            <w:tcW w:w="494" w:type="dxa"/>
            <w:vMerge/>
          </w:tcPr>
          <w:p w14:paraId="452BD46A" w14:textId="77777777" w:rsidR="009638BD" w:rsidRPr="007A55A2" w:rsidRDefault="009638BD" w:rsidP="006A7DA3">
            <w:pPr>
              <w:jc w:val="both"/>
              <w:rPr>
                <w:rFonts w:ascii="Times New Roman" w:hAnsi="Times New Roman" w:cs="Times New Roman"/>
                <w:color w:val="000000" w:themeColor="text1"/>
                <w:sz w:val="20"/>
                <w:szCs w:val="20"/>
                <w:lang w:val="lv-LV"/>
              </w:rPr>
            </w:pPr>
          </w:p>
        </w:tc>
        <w:tc>
          <w:tcPr>
            <w:tcW w:w="1941" w:type="dxa"/>
            <w:shd w:val="clear" w:color="auto" w:fill="D9D9D9" w:themeFill="background1" w:themeFillShade="D9"/>
          </w:tcPr>
          <w:p w14:paraId="3D80B555" w14:textId="77777777" w:rsidR="009638BD" w:rsidRPr="007A55A2" w:rsidRDefault="009638BD" w:rsidP="006A7DA3">
            <w:pP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FLPP no 2019/1</w:t>
            </w:r>
          </w:p>
        </w:tc>
        <w:tc>
          <w:tcPr>
            <w:tcW w:w="1401" w:type="dxa"/>
            <w:shd w:val="clear" w:color="auto" w:fill="D9D9D9" w:themeFill="background1" w:themeFillShade="D9"/>
          </w:tcPr>
          <w:p w14:paraId="0DB95B05" w14:textId="77777777" w:rsidR="009638BD" w:rsidRPr="007A55A2" w:rsidRDefault="009638B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Nolikums</w:t>
            </w:r>
          </w:p>
        </w:tc>
        <w:tc>
          <w:tcPr>
            <w:tcW w:w="1402" w:type="dxa"/>
            <w:shd w:val="clear" w:color="auto" w:fill="D9D9D9" w:themeFill="background1" w:themeFillShade="D9"/>
          </w:tcPr>
          <w:p w14:paraId="1AE579D4" w14:textId="77777777" w:rsidR="009638BD" w:rsidRPr="007A55A2" w:rsidRDefault="009638BD" w:rsidP="006A7DA3">
            <w:pPr>
              <w:jc w:val="right"/>
              <w:rPr>
                <w:rFonts w:ascii="Times New Roman" w:hAnsi="Times New Roman" w:cs="Times New Roman"/>
                <w:color w:val="000000" w:themeColor="text1"/>
                <w:sz w:val="20"/>
                <w:szCs w:val="20"/>
                <w:lang w:val="lv-LV"/>
              </w:rPr>
            </w:pPr>
            <w:r w:rsidRPr="007A55A2">
              <w:rPr>
                <w:rFonts w:ascii="Times New Roman" w:hAnsi="Times New Roman" w:cs="Times New Roman"/>
                <w:noProof/>
                <w:color w:val="000000" w:themeColor="text1"/>
                <w:sz w:val="20"/>
                <w:szCs w:val="20"/>
                <w:lang w:val="lv-LV"/>
              </w:rPr>
              <mc:AlternateContent>
                <mc:Choice Requires="wps">
                  <w:drawing>
                    <wp:anchor distT="0" distB="0" distL="114300" distR="114300" simplePos="0" relativeHeight="251676672" behindDoc="0" locked="0" layoutInCell="1" allowOverlap="1" wp14:anchorId="636133D1" wp14:editId="230DC294">
                      <wp:simplePos x="0" y="0"/>
                      <wp:positionH relativeFrom="column">
                        <wp:posOffset>-57785</wp:posOffset>
                      </wp:positionH>
                      <wp:positionV relativeFrom="paragraph">
                        <wp:posOffset>11904</wp:posOffset>
                      </wp:positionV>
                      <wp:extent cx="198000" cy="129600"/>
                      <wp:effectExtent l="0" t="0" r="12065" b="22860"/>
                      <wp:wrapNone/>
                      <wp:docPr id="1470643516" name="Rectangle 3"/>
                      <wp:cNvGraphicFramePr/>
                      <a:graphic xmlns:a="http://schemas.openxmlformats.org/drawingml/2006/main">
                        <a:graphicData uri="http://schemas.microsoft.com/office/word/2010/wordprocessingShape">
                          <wps:wsp>
                            <wps:cNvSpPr/>
                            <wps:spPr>
                              <a:xfrm>
                                <a:off x="0" y="0"/>
                                <a:ext cx="198000" cy="12960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42590" id="Rectangle 3" o:spid="_x0000_s1026" style="position:absolute;margin-left:-4.55pt;margin-top:.95pt;width:15.6pt;height:1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" fillcolor="#0070c0" strokecolor="#0070c0" strokeweight="1pt"/>
                  </w:pict>
                </mc:Fallback>
              </mc:AlternateContent>
            </w:r>
            <w:r w:rsidRPr="007A55A2">
              <w:rPr>
                <w:rFonts w:ascii="Times New Roman" w:hAnsi="Times New Roman" w:cs="Times New Roman"/>
                <w:color w:val="000000" w:themeColor="text1"/>
                <w:sz w:val="20"/>
                <w:szCs w:val="20"/>
                <w:lang w:val="lv-LV"/>
              </w:rPr>
              <w:t>10%</w:t>
            </w:r>
          </w:p>
        </w:tc>
        <w:tc>
          <w:tcPr>
            <w:tcW w:w="1676" w:type="dxa"/>
            <w:shd w:val="clear" w:color="auto" w:fill="D9D9D9" w:themeFill="background1" w:themeFillShade="D9"/>
          </w:tcPr>
          <w:p w14:paraId="707F7787" w14:textId="77777777" w:rsidR="009638BD" w:rsidRPr="007A55A2" w:rsidRDefault="009638BD" w:rsidP="006A7DA3">
            <w:pPr>
              <w:jc w:val="right"/>
              <w:rPr>
                <w:rFonts w:ascii="Times New Roman" w:hAnsi="Times New Roman" w:cs="Times New Roman"/>
                <w:color w:val="000000" w:themeColor="text1"/>
                <w:sz w:val="20"/>
                <w:szCs w:val="20"/>
                <w:lang w:val="lv-LV"/>
              </w:rPr>
            </w:pPr>
          </w:p>
        </w:tc>
        <w:tc>
          <w:tcPr>
            <w:tcW w:w="1264" w:type="dxa"/>
            <w:shd w:val="clear" w:color="auto" w:fill="D9D9D9" w:themeFill="background1" w:themeFillShade="D9"/>
          </w:tcPr>
          <w:p w14:paraId="65197B1D" w14:textId="77777777" w:rsidR="009638BD" w:rsidRPr="007A55A2" w:rsidRDefault="009638BD" w:rsidP="006A7DA3">
            <w:pPr>
              <w:jc w:val="right"/>
              <w:rPr>
                <w:rFonts w:ascii="Times New Roman" w:hAnsi="Times New Roman" w:cs="Times New Roman"/>
                <w:color w:val="000000" w:themeColor="text1"/>
                <w:sz w:val="20"/>
                <w:szCs w:val="20"/>
                <w:lang w:val="lv-LV"/>
              </w:rPr>
            </w:pPr>
          </w:p>
        </w:tc>
      </w:tr>
      <w:tr w:rsidR="007A55A2" w:rsidRPr="007A55A2" w14:paraId="5E8D7E9D" w14:textId="77777777" w:rsidTr="009638BD">
        <w:trPr>
          <w:jc w:val="center"/>
        </w:trPr>
        <w:tc>
          <w:tcPr>
            <w:tcW w:w="473" w:type="dxa"/>
            <w:vMerge/>
          </w:tcPr>
          <w:p w14:paraId="7700CA3B" w14:textId="77777777" w:rsidR="009638BD" w:rsidRPr="007A55A2" w:rsidRDefault="009638BD" w:rsidP="006A7DA3">
            <w:pPr>
              <w:jc w:val="both"/>
              <w:rPr>
                <w:rFonts w:ascii="Times New Roman" w:hAnsi="Times New Roman" w:cs="Times New Roman"/>
                <w:color w:val="000000" w:themeColor="text1"/>
                <w:sz w:val="20"/>
                <w:szCs w:val="20"/>
                <w:lang w:val="lv-LV"/>
              </w:rPr>
            </w:pPr>
          </w:p>
        </w:tc>
        <w:tc>
          <w:tcPr>
            <w:tcW w:w="494" w:type="dxa"/>
            <w:vMerge/>
          </w:tcPr>
          <w:p w14:paraId="745B2002" w14:textId="77777777" w:rsidR="009638BD" w:rsidRPr="007A55A2" w:rsidRDefault="009638BD" w:rsidP="006A7DA3">
            <w:pPr>
              <w:jc w:val="both"/>
              <w:rPr>
                <w:rFonts w:ascii="Times New Roman" w:hAnsi="Times New Roman" w:cs="Times New Roman"/>
                <w:color w:val="000000" w:themeColor="text1"/>
                <w:sz w:val="20"/>
                <w:szCs w:val="20"/>
                <w:lang w:val="lv-LV"/>
              </w:rPr>
            </w:pPr>
          </w:p>
        </w:tc>
        <w:tc>
          <w:tcPr>
            <w:tcW w:w="1941" w:type="dxa"/>
            <w:shd w:val="clear" w:color="auto" w:fill="D9D9D9" w:themeFill="background1" w:themeFillShade="D9"/>
          </w:tcPr>
          <w:p w14:paraId="66E7E030" w14:textId="77777777" w:rsidR="009638BD" w:rsidRPr="007A55A2" w:rsidRDefault="009638BD" w:rsidP="006A7DA3">
            <w:pP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FLPP no 2020/2</w:t>
            </w:r>
          </w:p>
        </w:tc>
        <w:tc>
          <w:tcPr>
            <w:tcW w:w="1401" w:type="dxa"/>
            <w:shd w:val="clear" w:color="auto" w:fill="D9D9D9" w:themeFill="background1" w:themeFillShade="D9"/>
          </w:tcPr>
          <w:p w14:paraId="68908E31" w14:textId="77777777" w:rsidR="009638BD" w:rsidRPr="007A55A2" w:rsidRDefault="009638B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Nolikums</w:t>
            </w:r>
          </w:p>
        </w:tc>
        <w:tc>
          <w:tcPr>
            <w:tcW w:w="1402" w:type="dxa"/>
            <w:shd w:val="clear" w:color="auto" w:fill="D9D9D9" w:themeFill="background1" w:themeFillShade="D9"/>
          </w:tcPr>
          <w:p w14:paraId="0CABD834" w14:textId="77777777" w:rsidR="009638BD" w:rsidRPr="007A55A2" w:rsidRDefault="009638BD" w:rsidP="006A7DA3">
            <w:pPr>
              <w:jc w:val="right"/>
              <w:rPr>
                <w:rFonts w:ascii="Times New Roman" w:hAnsi="Times New Roman" w:cs="Times New Roman"/>
                <w:color w:val="000000" w:themeColor="text1"/>
                <w:sz w:val="20"/>
                <w:szCs w:val="20"/>
                <w:lang w:val="lv-LV"/>
              </w:rPr>
            </w:pPr>
            <w:r w:rsidRPr="007A55A2">
              <w:rPr>
                <w:rFonts w:ascii="Times New Roman" w:hAnsi="Times New Roman" w:cs="Times New Roman"/>
                <w:noProof/>
                <w:color w:val="000000" w:themeColor="text1"/>
                <w:sz w:val="20"/>
                <w:szCs w:val="20"/>
                <w:lang w:val="lv-LV"/>
              </w:rPr>
              <mc:AlternateContent>
                <mc:Choice Requires="wps">
                  <w:drawing>
                    <wp:anchor distT="0" distB="0" distL="114300" distR="114300" simplePos="0" relativeHeight="251677696" behindDoc="0" locked="0" layoutInCell="1" allowOverlap="1" wp14:anchorId="61EE5F96" wp14:editId="10D5E3B3">
                      <wp:simplePos x="0" y="0"/>
                      <wp:positionH relativeFrom="column">
                        <wp:posOffset>-58259</wp:posOffset>
                      </wp:positionH>
                      <wp:positionV relativeFrom="paragraph">
                        <wp:posOffset>8302</wp:posOffset>
                      </wp:positionV>
                      <wp:extent cx="360000" cy="129600"/>
                      <wp:effectExtent l="0" t="0" r="21590" b="22860"/>
                      <wp:wrapNone/>
                      <wp:docPr id="619178930" name="Rectangle 3"/>
                      <wp:cNvGraphicFramePr/>
                      <a:graphic xmlns:a="http://schemas.openxmlformats.org/drawingml/2006/main">
                        <a:graphicData uri="http://schemas.microsoft.com/office/word/2010/wordprocessingShape">
                          <wps:wsp>
                            <wps:cNvSpPr/>
                            <wps:spPr>
                              <a:xfrm>
                                <a:off x="0" y="0"/>
                                <a:ext cx="360000" cy="12960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9ECA" id="Rectangle 3" o:spid="_x0000_s1026" style="position:absolute;margin-left:-4.6pt;margin-top:.65pt;width:28.35pt;height:1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" fillcolor="#0070c0" strokecolor="#0070c0" strokeweight="1pt"/>
                  </w:pict>
                </mc:Fallback>
              </mc:AlternateContent>
            </w:r>
            <w:r w:rsidRPr="007A55A2">
              <w:rPr>
                <w:rFonts w:ascii="Times New Roman" w:hAnsi="Times New Roman" w:cs="Times New Roman"/>
                <w:color w:val="000000" w:themeColor="text1"/>
                <w:sz w:val="20"/>
                <w:szCs w:val="20"/>
                <w:lang w:val="lv-LV"/>
              </w:rPr>
              <w:t>20%</w:t>
            </w:r>
          </w:p>
        </w:tc>
        <w:tc>
          <w:tcPr>
            <w:tcW w:w="1676" w:type="dxa"/>
            <w:shd w:val="clear" w:color="auto" w:fill="D9D9D9" w:themeFill="background1" w:themeFillShade="D9"/>
          </w:tcPr>
          <w:p w14:paraId="3791F3AB" w14:textId="77777777" w:rsidR="009638BD" w:rsidRPr="007A55A2" w:rsidRDefault="009638BD" w:rsidP="006A7DA3">
            <w:pPr>
              <w:jc w:val="right"/>
              <w:rPr>
                <w:rFonts w:ascii="Times New Roman" w:hAnsi="Times New Roman" w:cs="Times New Roman"/>
                <w:color w:val="000000" w:themeColor="text1"/>
                <w:sz w:val="20"/>
                <w:szCs w:val="20"/>
                <w:lang w:val="lv-LV"/>
              </w:rPr>
            </w:pPr>
          </w:p>
        </w:tc>
        <w:tc>
          <w:tcPr>
            <w:tcW w:w="1264" w:type="dxa"/>
            <w:shd w:val="clear" w:color="auto" w:fill="D9D9D9" w:themeFill="background1" w:themeFillShade="D9"/>
          </w:tcPr>
          <w:p w14:paraId="753DCA79" w14:textId="77777777" w:rsidR="009638BD" w:rsidRPr="007A55A2" w:rsidRDefault="009638BD" w:rsidP="006A7DA3">
            <w:pPr>
              <w:jc w:val="right"/>
              <w:rPr>
                <w:rFonts w:ascii="Times New Roman" w:hAnsi="Times New Roman" w:cs="Times New Roman"/>
                <w:color w:val="000000" w:themeColor="text1"/>
                <w:sz w:val="20"/>
                <w:szCs w:val="20"/>
                <w:lang w:val="lv-LV"/>
              </w:rPr>
            </w:pPr>
          </w:p>
        </w:tc>
      </w:tr>
      <w:tr w:rsidR="007A55A2" w:rsidRPr="007A55A2" w14:paraId="7603BA2A" w14:textId="77777777" w:rsidTr="009638BD">
        <w:trPr>
          <w:jc w:val="center"/>
        </w:trPr>
        <w:tc>
          <w:tcPr>
            <w:tcW w:w="473" w:type="dxa"/>
            <w:vMerge/>
          </w:tcPr>
          <w:p w14:paraId="753F3435" w14:textId="77777777" w:rsidR="009638BD" w:rsidRPr="007A55A2" w:rsidRDefault="009638BD" w:rsidP="006A7DA3">
            <w:pPr>
              <w:jc w:val="both"/>
              <w:rPr>
                <w:rFonts w:ascii="Times New Roman" w:hAnsi="Times New Roman" w:cs="Times New Roman"/>
                <w:color w:val="000000" w:themeColor="text1"/>
                <w:sz w:val="20"/>
                <w:szCs w:val="20"/>
                <w:lang w:val="lv-LV"/>
              </w:rPr>
            </w:pPr>
          </w:p>
        </w:tc>
        <w:tc>
          <w:tcPr>
            <w:tcW w:w="494" w:type="dxa"/>
            <w:vMerge/>
          </w:tcPr>
          <w:p w14:paraId="14C2DA08" w14:textId="77777777" w:rsidR="009638BD" w:rsidRPr="007A55A2" w:rsidRDefault="009638BD" w:rsidP="006A7DA3">
            <w:pPr>
              <w:jc w:val="both"/>
              <w:rPr>
                <w:rFonts w:ascii="Times New Roman" w:hAnsi="Times New Roman" w:cs="Times New Roman"/>
                <w:color w:val="000000" w:themeColor="text1"/>
                <w:sz w:val="20"/>
                <w:szCs w:val="20"/>
                <w:lang w:val="lv-LV"/>
              </w:rPr>
            </w:pPr>
          </w:p>
        </w:tc>
        <w:tc>
          <w:tcPr>
            <w:tcW w:w="1941" w:type="dxa"/>
          </w:tcPr>
          <w:p w14:paraId="1233134A" w14:textId="77777777" w:rsidR="009638BD" w:rsidRPr="007A55A2" w:rsidRDefault="009638BD" w:rsidP="006A7DA3">
            <w:pP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FLPP no 2022/1</w:t>
            </w:r>
          </w:p>
        </w:tc>
        <w:tc>
          <w:tcPr>
            <w:tcW w:w="1401" w:type="dxa"/>
          </w:tcPr>
          <w:p w14:paraId="4C77C211" w14:textId="77777777" w:rsidR="009638BD" w:rsidRPr="007A55A2" w:rsidRDefault="009638B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Nolikums</w:t>
            </w:r>
          </w:p>
        </w:tc>
        <w:tc>
          <w:tcPr>
            <w:tcW w:w="1402" w:type="dxa"/>
          </w:tcPr>
          <w:p w14:paraId="295CEB41" w14:textId="77777777" w:rsidR="009638BD" w:rsidRPr="007A55A2" w:rsidRDefault="009638BD" w:rsidP="006A7DA3">
            <w:pPr>
              <w:jc w:val="both"/>
              <w:rPr>
                <w:rFonts w:ascii="Times New Roman" w:hAnsi="Times New Roman" w:cs="Times New Roman"/>
                <w:color w:val="000000" w:themeColor="text1"/>
                <w:sz w:val="20"/>
                <w:szCs w:val="20"/>
                <w:lang w:val="lv-LV"/>
              </w:rPr>
            </w:pPr>
          </w:p>
        </w:tc>
        <w:tc>
          <w:tcPr>
            <w:tcW w:w="1676" w:type="dxa"/>
          </w:tcPr>
          <w:p w14:paraId="6CB9F7B9" w14:textId="77777777" w:rsidR="009638BD" w:rsidRPr="007A55A2" w:rsidRDefault="009638BD" w:rsidP="006A7DA3">
            <w:pPr>
              <w:jc w:val="right"/>
              <w:rPr>
                <w:rFonts w:ascii="Times New Roman" w:hAnsi="Times New Roman" w:cs="Times New Roman"/>
                <w:color w:val="000000" w:themeColor="text1"/>
                <w:sz w:val="20"/>
                <w:szCs w:val="20"/>
                <w:lang w:val="lv-LV"/>
              </w:rPr>
            </w:pPr>
          </w:p>
        </w:tc>
        <w:tc>
          <w:tcPr>
            <w:tcW w:w="1264" w:type="dxa"/>
          </w:tcPr>
          <w:p w14:paraId="35616F9D" w14:textId="77777777" w:rsidR="009638BD" w:rsidRPr="007A55A2" w:rsidRDefault="009638BD" w:rsidP="006A7DA3">
            <w:pPr>
              <w:jc w:val="right"/>
              <w:rPr>
                <w:rFonts w:ascii="Times New Roman" w:hAnsi="Times New Roman" w:cs="Times New Roman"/>
                <w:color w:val="000000" w:themeColor="text1"/>
                <w:sz w:val="20"/>
                <w:szCs w:val="20"/>
                <w:lang w:val="lv-LV"/>
              </w:rPr>
            </w:pPr>
            <w:r w:rsidRPr="007A55A2">
              <w:rPr>
                <w:rFonts w:ascii="Times New Roman" w:hAnsi="Times New Roman" w:cs="Times New Roman"/>
                <w:noProof/>
                <w:color w:val="000000" w:themeColor="text1"/>
                <w:sz w:val="20"/>
                <w:szCs w:val="20"/>
                <w:lang w:val="lv-LV"/>
              </w:rPr>
              <mc:AlternateContent>
                <mc:Choice Requires="wps">
                  <w:drawing>
                    <wp:anchor distT="0" distB="0" distL="114300" distR="114300" simplePos="0" relativeHeight="251679744" behindDoc="0" locked="0" layoutInCell="1" allowOverlap="1" wp14:anchorId="788CF435" wp14:editId="52819F92">
                      <wp:simplePos x="0" y="0"/>
                      <wp:positionH relativeFrom="column">
                        <wp:posOffset>-52373</wp:posOffset>
                      </wp:positionH>
                      <wp:positionV relativeFrom="paragraph">
                        <wp:posOffset>16974</wp:posOffset>
                      </wp:positionV>
                      <wp:extent cx="269875" cy="129540"/>
                      <wp:effectExtent l="0" t="0" r="15875" b="22860"/>
                      <wp:wrapNone/>
                      <wp:docPr id="1068282919" name="Rectangle 3"/>
                      <wp:cNvGraphicFramePr/>
                      <a:graphic xmlns:a="http://schemas.openxmlformats.org/drawingml/2006/main">
                        <a:graphicData uri="http://schemas.microsoft.com/office/word/2010/wordprocessingShape">
                          <wps:wsp>
                            <wps:cNvSpPr/>
                            <wps:spPr>
                              <a:xfrm>
                                <a:off x="0" y="0"/>
                                <a:ext cx="269875" cy="129540"/>
                              </a:xfrm>
                              <a:prstGeom prst="rect">
                                <a:avLst/>
                              </a:prstGeom>
                              <a:solidFill>
                                <a:schemeClr val="accent2">
                                  <a:lumMod val="75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204C7" id="Rectangle 3" o:spid="_x0000_s1026" style="position:absolute;margin-left:-4.1pt;margin-top:1.35pt;width:21.25pt;height:1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" fillcolor="#bf4e14 [2405]" strokecolor="#bf4e14 [2405]" strokeweight="1pt"/>
                  </w:pict>
                </mc:Fallback>
              </mc:AlternateContent>
            </w:r>
            <w:r w:rsidRPr="007A55A2">
              <w:rPr>
                <w:rFonts w:ascii="Times New Roman" w:hAnsi="Times New Roman" w:cs="Times New Roman"/>
                <w:color w:val="000000" w:themeColor="text1"/>
                <w:sz w:val="20"/>
                <w:szCs w:val="20"/>
                <w:lang w:val="lv-LV"/>
              </w:rPr>
              <w:t>15%</w:t>
            </w:r>
          </w:p>
        </w:tc>
      </w:tr>
      <w:tr w:rsidR="007A55A2" w:rsidRPr="007A55A2" w14:paraId="4D774E4B" w14:textId="77777777" w:rsidTr="009638BD">
        <w:trPr>
          <w:jc w:val="center"/>
        </w:trPr>
        <w:tc>
          <w:tcPr>
            <w:tcW w:w="473" w:type="dxa"/>
            <w:vMerge/>
          </w:tcPr>
          <w:p w14:paraId="0809DF30" w14:textId="77777777" w:rsidR="009032CD" w:rsidRPr="007A55A2" w:rsidRDefault="009032CD" w:rsidP="006A7DA3">
            <w:pPr>
              <w:jc w:val="both"/>
              <w:rPr>
                <w:rFonts w:ascii="Times New Roman" w:hAnsi="Times New Roman" w:cs="Times New Roman"/>
                <w:color w:val="000000" w:themeColor="text1"/>
                <w:sz w:val="20"/>
                <w:szCs w:val="20"/>
                <w:lang w:val="lv-LV"/>
              </w:rPr>
            </w:pPr>
          </w:p>
        </w:tc>
        <w:tc>
          <w:tcPr>
            <w:tcW w:w="494" w:type="dxa"/>
            <w:vMerge w:val="restart"/>
            <w:vAlign w:val="center"/>
          </w:tcPr>
          <w:p w14:paraId="7DC3E6B6" w14:textId="77777777" w:rsidR="009032CD" w:rsidRPr="007A55A2" w:rsidRDefault="009032C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SF</w:t>
            </w:r>
            <w:r w:rsidRPr="007A55A2">
              <w:rPr>
                <w:rFonts w:ascii="Times New Roman" w:hAnsi="Times New Roman" w:cs="Times New Roman"/>
                <w:color w:val="000000" w:themeColor="text1"/>
                <w:sz w:val="20"/>
                <w:szCs w:val="20"/>
                <w:lang w:val="lv-LV"/>
              </w:rPr>
              <w:br/>
              <w:t>VB</w:t>
            </w:r>
          </w:p>
        </w:tc>
        <w:tc>
          <w:tcPr>
            <w:tcW w:w="1941" w:type="dxa"/>
            <w:shd w:val="clear" w:color="auto" w:fill="D9D9D9" w:themeFill="background1" w:themeFillShade="D9"/>
          </w:tcPr>
          <w:p w14:paraId="5F76CFBF" w14:textId="77777777" w:rsidR="009032CD" w:rsidRPr="007A55A2" w:rsidRDefault="009032CD" w:rsidP="006A7DA3">
            <w:pP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1.1.1.1. pasākums</w:t>
            </w:r>
          </w:p>
        </w:tc>
        <w:tc>
          <w:tcPr>
            <w:tcW w:w="1401" w:type="dxa"/>
            <w:shd w:val="clear" w:color="auto" w:fill="D9D9D9" w:themeFill="background1" w:themeFillShade="D9"/>
          </w:tcPr>
          <w:p w14:paraId="6C0CC77F" w14:textId="77777777" w:rsidR="009032CD" w:rsidRPr="007A55A2" w:rsidRDefault="009032C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MK noteikumi</w:t>
            </w:r>
          </w:p>
        </w:tc>
        <w:tc>
          <w:tcPr>
            <w:tcW w:w="1402" w:type="dxa"/>
            <w:shd w:val="clear" w:color="auto" w:fill="D9D9D9" w:themeFill="background1" w:themeFillShade="D9"/>
          </w:tcPr>
          <w:p w14:paraId="414E4FAB" w14:textId="77777777" w:rsidR="009032CD" w:rsidRPr="007A55A2" w:rsidRDefault="009032CD" w:rsidP="006A7DA3">
            <w:pPr>
              <w:jc w:val="both"/>
              <w:rPr>
                <w:rFonts w:ascii="Times New Roman" w:hAnsi="Times New Roman" w:cs="Times New Roman"/>
                <w:color w:val="000000" w:themeColor="text1"/>
                <w:sz w:val="20"/>
                <w:szCs w:val="20"/>
                <w:lang w:val="lv-LV"/>
              </w:rPr>
            </w:pPr>
          </w:p>
        </w:tc>
        <w:tc>
          <w:tcPr>
            <w:tcW w:w="1676" w:type="dxa"/>
            <w:shd w:val="clear" w:color="auto" w:fill="D9D9D9" w:themeFill="background1" w:themeFillShade="D9"/>
          </w:tcPr>
          <w:p w14:paraId="745328C3" w14:textId="77777777" w:rsidR="009032CD" w:rsidRPr="007A55A2" w:rsidRDefault="009032CD" w:rsidP="006A7DA3">
            <w:pPr>
              <w:jc w:val="right"/>
              <w:rPr>
                <w:rFonts w:ascii="Times New Roman" w:hAnsi="Times New Roman" w:cs="Times New Roman"/>
                <w:color w:val="000000" w:themeColor="text1"/>
                <w:sz w:val="20"/>
                <w:szCs w:val="20"/>
                <w:lang w:val="lv-LV"/>
              </w:rPr>
            </w:pPr>
            <w:r w:rsidRPr="007A55A2">
              <w:rPr>
                <w:rFonts w:ascii="Times New Roman" w:hAnsi="Times New Roman" w:cs="Times New Roman"/>
                <w:noProof/>
                <w:color w:val="000000" w:themeColor="text1"/>
                <w:sz w:val="20"/>
                <w:szCs w:val="20"/>
                <w:lang w:val="lv-LV"/>
              </w:rPr>
              <mc:AlternateContent>
                <mc:Choice Requires="wps">
                  <w:drawing>
                    <wp:anchor distT="0" distB="0" distL="114300" distR="114300" simplePos="0" relativeHeight="251685888" behindDoc="0" locked="0" layoutInCell="1" allowOverlap="1" wp14:anchorId="51D389DE" wp14:editId="3B5CDDB8">
                      <wp:simplePos x="0" y="0"/>
                      <wp:positionH relativeFrom="column">
                        <wp:posOffset>-48421</wp:posOffset>
                      </wp:positionH>
                      <wp:positionV relativeFrom="paragraph">
                        <wp:posOffset>7620</wp:posOffset>
                      </wp:positionV>
                      <wp:extent cx="449580" cy="129540"/>
                      <wp:effectExtent l="0" t="0" r="26670" b="22860"/>
                      <wp:wrapNone/>
                      <wp:docPr id="727465291" name="Rectangle 3"/>
                      <wp:cNvGraphicFramePr/>
                      <a:graphic xmlns:a="http://schemas.openxmlformats.org/drawingml/2006/main">
                        <a:graphicData uri="http://schemas.microsoft.com/office/word/2010/wordprocessingShape">
                          <wps:wsp>
                            <wps:cNvSpPr/>
                            <wps:spPr>
                              <a:xfrm>
                                <a:off x="0" y="0"/>
                                <a:ext cx="449580" cy="129540"/>
                              </a:xfrm>
                              <a:prstGeom prst="rect">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4A3E0" id="Rectangle 3" o:spid="_x0000_s1026" style="position:absolute;margin-left:-3.8pt;margin-top:.6pt;width:35.4pt;height:1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" fillcolor="#00b050" strokecolor="#00b050" strokeweight="1pt"/>
                  </w:pict>
                </mc:Fallback>
              </mc:AlternateContent>
            </w:r>
            <w:r w:rsidRPr="007A55A2">
              <w:rPr>
                <w:rFonts w:ascii="Times New Roman" w:hAnsi="Times New Roman" w:cs="Times New Roman"/>
                <w:color w:val="000000" w:themeColor="text1"/>
                <w:sz w:val="20"/>
                <w:szCs w:val="20"/>
                <w:lang w:val="lv-LV"/>
              </w:rPr>
              <w:t>25%</w:t>
            </w:r>
          </w:p>
        </w:tc>
        <w:tc>
          <w:tcPr>
            <w:tcW w:w="1264" w:type="dxa"/>
            <w:shd w:val="clear" w:color="auto" w:fill="D9D9D9" w:themeFill="background1" w:themeFillShade="D9"/>
          </w:tcPr>
          <w:p w14:paraId="354FB248" w14:textId="77777777" w:rsidR="009032CD" w:rsidRPr="007A55A2" w:rsidRDefault="009032CD" w:rsidP="006A7DA3">
            <w:pPr>
              <w:jc w:val="right"/>
              <w:rPr>
                <w:rFonts w:ascii="Times New Roman" w:hAnsi="Times New Roman" w:cs="Times New Roman"/>
                <w:noProof/>
                <w:color w:val="000000" w:themeColor="text1"/>
                <w:sz w:val="20"/>
                <w:szCs w:val="20"/>
                <w:lang w:val="lv-LV"/>
              </w:rPr>
            </w:pPr>
          </w:p>
        </w:tc>
      </w:tr>
      <w:tr w:rsidR="007A55A2" w:rsidRPr="007A55A2" w14:paraId="7862D3E4" w14:textId="77777777" w:rsidTr="009638BD">
        <w:trPr>
          <w:jc w:val="center"/>
        </w:trPr>
        <w:tc>
          <w:tcPr>
            <w:tcW w:w="473" w:type="dxa"/>
            <w:vMerge/>
          </w:tcPr>
          <w:p w14:paraId="750380CA" w14:textId="77777777" w:rsidR="009032CD" w:rsidRPr="007A55A2" w:rsidRDefault="009032CD" w:rsidP="006A7DA3">
            <w:pPr>
              <w:jc w:val="both"/>
              <w:rPr>
                <w:rFonts w:ascii="Times New Roman" w:hAnsi="Times New Roman" w:cs="Times New Roman"/>
                <w:color w:val="000000" w:themeColor="text1"/>
                <w:sz w:val="20"/>
                <w:szCs w:val="20"/>
                <w:lang w:val="lv-LV"/>
              </w:rPr>
            </w:pPr>
          </w:p>
        </w:tc>
        <w:tc>
          <w:tcPr>
            <w:tcW w:w="494" w:type="dxa"/>
            <w:vMerge/>
          </w:tcPr>
          <w:p w14:paraId="2270B4A7" w14:textId="77777777" w:rsidR="009032CD" w:rsidRPr="007A55A2" w:rsidRDefault="009032CD" w:rsidP="006A7DA3">
            <w:pPr>
              <w:jc w:val="both"/>
              <w:rPr>
                <w:rFonts w:ascii="Times New Roman" w:hAnsi="Times New Roman" w:cs="Times New Roman"/>
                <w:color w:val="000000" w:themeColor="text1"/>
                <w:sz w:val="20"/>
                <w:szCs w:val="20"/>
                <w:lang w:val="lv-LV"/>
              </w:rPr>
            </w:pPr>
          </w:p>
        </w:tc>
        <w:tc>
          <w:tcPr>
            <w:tcW w:w="1941" w:type="dxa"/>
            <w:shd w:val="clear" w:color="auto" w:fill="D9D9D9" w:themeFill="background1" w:themeFillShade="D9"/>
          </w:tcPr>
          <w:p w14:paraId="58CF3A77" w14:textId="77777777" w:rsidR="009032CD" w:rsidRPr="007A55A2" w:rsidRDefault="009032CD" w:rsidP="006A7DA3">
            <w:pP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1.1.1.2. pasākums</w:t>
            </w:r>
          </w:p>
        </w:tc>
        <w:tc>
          <w:tcPr>
            <w:tcW w:w="1401" w:type="dxa"/>
            <w:shd w:val="clear" w:color="auto" w:fill="D9D9D9" w:themeFill="background1" w:themeFillShade="D9"/>
          </w:tcPr>
          <w:p w14:paraId="2102D23B" w14:textId="77777777" w:rsidR="009032CD" w:rsidRPr="007A55A2" w:rsidRDefault="009032C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MK noteikumi</w:t>
            </w:r>
          </w:p>
        </w:tc>
        <w:tc>
          <w:tcPr>
            <w:tcW w:w="1402" w:type="dxa"/>
            <w:shd w:val="clear" w:color="auto" w:fill="D9D9D9" w:themeFill="background1" w:themeFillShade="D9"/>
          </w:tcPr>
          <w:p w14:paraId="0447E399" w14:textId="77777777" w:rsidR="009032CD" w:rsidRPr="007A55A2" w:rsidRDefault="009032CD" w:rsidP="006A7DA3">
            <w:pPr>
              <w:jc w:val="both"/>
              <w:rPr>
                <w:rFonts w:ascii="Times New Roman" w:hAnsi="Times New Roman" w:cs="Times New Roman"/>
                <w:color w:val="000000" w:themeColor="text1"/>
                <w:sz w:val="20"/>
                <w:szCs w:val="20"/>
                <w:lang w:val="lv-LV"/>
              </w:rPr>
            </w:pPr>
          </w:p>
        </w:tc>
        <w:tc>
          <w:tcPr>
            <w:tcW w:w="1676" w:type="dxa"/>
            <w:shd w:val="clear" w:color="auto" w:fill="D9D9D9" w:themeFill="background1" w:themeFillShade="D9"/>
          </w:tcPr>
          <w:p w14:paraId="54F326F8" w14:textId="7899A942" w:rsidR="009032CD" w:rsidRPr="007A55A2" w:rsidRDefault="009032CD" w:rsidP="006A7DA3">
            <w:pPr>
              <w:jc w:val="right"/>
              <w:rPr>
                <w:rFonts w:ascii="Times New Roman" w:hAnsi="Times New Roman" w:cs="Times New Roman"/>
                <w:color w:val="000000" w:themeColor="text1"/>
                <w:sz w:val="20"/>
                <w:szCs w:val="20"/>
                <w:lang w:val="lv-LV"/>
              </w:rPr>
            </w:pPr>
          </w:p>
        </w:tc>
        <w:tc>
          <w:tcPr>
            <w:tcW w:w="1264" w:type="dxa"/>
            <w:shd w:val="clear" w:color="auto" w:fill="D9D9D9" w:themeFill="background1" w:themeFillShade="D9"/>
          </w:tcPr>
          <w:p w14:paraId="0F2ACF63" w14:textId="77777777" w:rsidR="009032CD" w:rsidRPr="007A55A2" w:rsidRDefault="009032CD" w:rsidP="006A7DA3">
            <w:pPr>
              <w:jc w:val="right"/>
              <w:rPr>
                <w:rFonts w:ascii="Times New Roman" w:hAnsi="Times New Roman" w:cs="Times New Roman"/>
                <w:noProof/>
                <w:color w:val="000000" w:themeColor="text1"/>
                <w:sz w:val="20"/>
                <w:szCs w:val="20"/>
                <w:lang w:val="lv-LV"/>
              </w:rPr>
            </w:pPr>
            <w:r w:rsidRPr="007A55A2">
              <w:rPr>
                <w:rFonts w:ascii="Times New Roman" w:hAnsi="Times New Roman" w:cs="Times New Roman"/>
                <w:noProof/>
                <w:color w:val="000000" w:themeColor="text1"/>
                <w:sz w:val="20"/>
                <w:szCs w:val="20"/>
                <w:lang w:val="lv-LV"/>
              </w:rPr>
              <mc:AlternateContent>
                <mc:Choice Requires="wps">
                  <w:drawing>
                    <wp:anchor distT="0" distB="0" distL="114300" distR="114300" simplePos="0" relativeHeight="251687936" behindDoc="0" locked="0" layoutInCell="1" allowOverlap="1" wp14:anchorId="74B2AE0A" wp14:editId="05CB9971">
                      <wp:simplePos x="0" y="0"/>
                      <wp:positionH relativeFrom="column">
                        <wp:posOffset>-52373</wp:posOffset>
                      </wp:positionH>
                      <wp:positionV relativeFrom="paragraph">
                        <wp:posOffset>8795</wp:posOffset>
                      </wp:positionV>
                      <wp:extent cx="269875" cy="129540"/>
                      <wp:effectExtent l="0" t="0" r="15875" b="22860"/>
                      <wp:wrapNone/>
                      <wp:docPr id="1545246846" name="Rectangle 3"/>
                      <wp:cNvGraphicFramePr/>
                      <a:graphic xmlns:a="http://schemas.openxmlformats.org/drawingml/2006/main">
                        <a:graphicData uri="http://schemas.microsoft.com/office/word/2010/wordprocessingShape">
                          <wps:wsp>
                            <wps:cNvSpPr/>
                            <wps:spPr>
                              <a:xfrm>
                                <a:off x="0" y="0"/>
                                <a:ext cx="269875" cy="129540"/>
                              </a:xfrm>
                              <a:prstGeom prst="rect">
                                <a:avLst/>
                              </a:prstGeom>
                              <a:solidFill>
                                <a:schemeClr val="accent2">
                                  <a:lumMod val="75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C6CB8" id="Rectangle 3" o:spid="_x0000_s1026" style="position:absolute;margin-left:-4.1pt;margin-top:.7pt;width:21.25pt;height:1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" fillcolor="#bf4e14 [2405]" strokecolor="#bf4e14 [2405]" strokeweight="1pt"/>
                  </w:pict>
                </mc:Fallback>
              </mc:AlternateContent>
            </w:r>
            <w:r w:rsidRPr="007A55A2">
              <w:rPr>
                <w:rFonts w:ascii="Times New Roman" w:hAnsi="Times New Roman" w:cs="Times New Roman"/>
                <w:noProof/>
                <w:color w:val="000000" w:themeColor="text1"/>
                <w:sz w:val="20"/>
                <w:szCs w:val="20"/>
                <w:lang w:val="lv-LV"/>
              </w:rPr>
              <w:t>15%</w:t>
            </w:r>
          </w:p>
        </w:tc>
      </w:tr>
      <w:tr w:rsidR="007A55A2" w:rsidRPr="007A55A2" w14:paraId="5CF79CA5" w14:textId="77777777" w:rsidTr="009638BD">
        <w:trPr>
          <w:jc w:val="center"/>
        </w:trPr>
        <w:tc>
          <w:tcPr>
            <w:tcW w:w="473" w:type="dxa"/>
            <w:vMerge/>
          </w:tcPr>
          <w:p w14:paraId="0267C43F" w14:textId="77777777" w:rsidR="009032CD" w:rsidRPr="007A55A2" w:rsidRDefault="009032CD" w:rsidP="006A7DA3">
            <w:pPr>
              <w:jc w:val="both"/>
              <w:rPr>
                <w:rFonts w:ascii="Times New Roman" w:hAnsi="Times New Roman" w:cs="Times New Roman"/>
                <w:color w:val="000000" w:themeColor="text1"/>
                <w:sz w:val="20"/>
                <w:szCs w:val="20"/>
                <w:lang w:val="lv-LV"/>
              </w:rPr>
            </w:pPr>
          </w:p>
        </w:tc>
        <w:tc>
          <w:tcPr>
            <w:tcW w:w="494" w:type="dxa"/>
            <w:vMerge/>
          </w:tcPr>
          <w:p w14:paraId="61E06672" w14:textId="77777777" w:rsidR="009032CD" w:rsidRPr="007A55A2" w:rsidRDefault="009032CD" w:rsidP="006A7DA3">
            <w:pPr>
              <w:jc w:val="both"/>
              <w:rPr>
                <w:rFonts w:ascii="Times New Roman" w:hAnsi="Times New Roman" w:cs="Times New Roman"/>
                <w:color w:val="000000" w:themeColor="text1"/>
                <w:sz w:val="20"/>
                <w:szCs w:val="20"/>
                <w:lang w:val="lv-LV"/>
              </w:rPr>
            </w:pPr>
          </w:p>
        </w:tc>
        <w:tc>
          <w:tcPr>
            <w:tcW w:w="1941" w:type="dxa"/>
          </w:tcPr>
          <w:p w14:paraId="78C72125" w14:textId="77777777" w:rsidR="009032CD" w:rsidRPr="007A55A2" w:rsidRDefault="009032CD" w:rsidP="006A7DA3">
            <w:pP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1.1.1.3. pasākums</w:t>
            </w:r>
          </w:p>
        </w:tc>
        <w:tc>
          <w:tcPr>
            <w:tcW w:w="1401" w:type="dxa"/>
          </w:tcPr>
          <w:p w14:paraId="0A4F7158" w14:textId="77777777" w:rsidR="009032CD" w:rsidRPr="007A55A2" w:rsidRDefault="009032C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MK noteikumi</w:t>
            </w:r>
          </w:p>
        </w:tc>
        <w:tc>
          <w:tcPr>
            <w:tcW w:w="1402" w:type="dxa"/>
          </w:tcPr>
          <w:p w14:paraId="24BBFBD6" w14:textId="77777777" w:rsidR="009032CD" w:rsidRPr="007A55A2" w:rsidRDefault="009032CD" w:rsidP="006A7DA3">
            <w:pPr>
              <w:jc w:val="both"/>
              <w:rPr>
                <w:rFonts w:ascii="Times New Roman" w:hAnsi="Times New Roman" w:cs="Times New Roman"/>
                <w:color w:val="000000" w:themeColor="text1"/>
                <w:sz w:val="20"/>
                <w:szCs w:val="20"/>
                <w:lang w:val="lv-LV"/>
              </w:rPr>
            </w:pPr>
          </w:p>
        </w:tc>
        <w:tc>
          <w:tcPr>
            <w:tcW w:w="1676" w:type="dxa"/>
          </w:tcPr>
          <w:p w14:paraId="5AB9036D" w14:textId="39FF455C" w:rsidR="009032CD" w:rsidRPr="007A55A2" w:rsidRDefault="00F44062" w:rsidP="006A7DA3">
            <w:pPr>
              <w:jc w:val="right"/>
              <w:rPr>
                <w:rFonts w:ascii="Times New Roman" w:hAnsi="Times New Roman" w:cs="Times New Roman"/>
                <w:color w:val="000000" w:themeColor="text1"/>
                <w:sz w:val="20"/>
                <w:szCs w:val="20"/>
                <w:lang w:val="lv-LV"/>
              </w:rPr>
            </w:pPr>
            <w:r w:rsidRPr="007A55A2">
              <w:rPr>
                <w:rFonts w:ascii="Times New Roman" w:hAnsi="Times New Roman" w:cs="Times New Roman"/>
                <w:noProof/>
                <w:color w:val="000000" w:themeColor="text1"/>
                <w:sz w:val="20"/>
                <w:szCs w:val="20"/>
                <w:lang w:val="lv-LV"/>
              </w:rPr>
              <mc:AlternateContent>
                <mc:Choice Requires="wps">
                  <w:drawing>
                    <wp:anchor distT="0" distB="0" distL="114300" distR="114300" simplePos="0" relativeHeight="251697152" behindDoc="0" locked="0" layoutInCell="1" allowOverlap="1" wp14:anchorId="4692CF97" wp14:editId="3A0B9F28">
                      <wp:simplePos x="0" y="0"/>
                      <wp:positionH relativeFrom="column">
                        <wp:posOffset>-66040</wp:posOffset>
                      </wp:positionH>
                      <wp:positionV relativeFrom="paragraph">
                        <wp:posOffset>9948</wp:posOffset>
                      </wp:positionV>
                      <wp:extent cx="449580" cy="129540"/>
                      <wp:effectExtent l="0" t="0" r="26670" b="22860"/>
                      <wp:wrapNone/>
                      <wp:docPr id="1962113785" name="Rectangle 3"/>
                      <wp:cNvGraphicFramePr/>
                      <a:graphic xmlns:a="http://schemas.openxmlformats.org/drawingml/2006/main">
                        <a:graphicData uri="http://schemas.microsoft.com/office/word/2010/wordprocessingShape">
                          <wps:wsp>
                            <wps:cNvSpPr/>
                            <wps:spPr>
                              <a:xfrm>
                                <a:off x="0" y="0"/>
                                <a:ext cx="449580" cy="129540"/>
                              </a:xfrm>
                              <a:prstGeom prst="rect">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56520" id="Rectangle 3" o:spid="_x0000_s1026" style="position:absolute;margin-left:-5.2pt;margin-top:.8pt;width:35.4pt;height:10.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" fillcolor="#00b050" strokecolor="#00b050" strokeweight="1pt"/>
                  </w:pict>
                </mc:Fallback>
              </mc:AlternateContent>
            </w:r>
            <w:r w:rsidR="009032CD" w:rsidRPr="007A55A2">
              <w:rPr>
                <w:rFonts w:ascii="Times New Roman" w:hAnsi="Times New Roman" w:cs="Times New Roman"/>
                <w:color w:val="000000" w:themeColor="text1"/>
                <w:sz w:val="20"/>
                <w:szCs w:val="20"/>
                <w:lang w:val="lv-LV"/>
              </w:rPr>
              <w:t>25%</w:t>
            </w:r>
          </w:p>
        </w:tc>
        <w:tc>
          <w:tcPr>
            <w:tcW w:w="1264" w:type="dxa"/>
          </w:tcPr>
          <w:p w14:paraId="06C55FC4" w14:textId="77777777" w:rsidR="009032CD" w:rsidRPr="007A55A2" w:rsidRDefault="009032CD" w:rsidP="006A7DA3">
            <w:pPr>
              <w:jc w:val="right"/>
              <w:rPr>
                <w:rFonts w:ascii="Times New Roman" w:hAnsi="Times New Roman" w:cs="Times New Roman"/>
                <w:noProof/>
                <w:color w:val="000000" w:themeColor="text1"/>
                <w:sz w:val="20"/>
                <w:szCs w:val="20"/>
                <w:lang w:val="lv-LV"/>
              </w:rPr>
            </w:pPr>
          </w:p>
        </w:tc>
      </w:tr>
      <w:tr w:rsidR="007A55A2" w:rsidRPr="007A55A2" w14:paraId="414DF1CB" w14:textId="77777777" w:rsidTr="009638BD">
        <w:trPr>
          <w:jc w:val="center"/>
        </w:trPr>
        <w:tc>
          <w:tcPr>
            <w:tcW w:w="473" w:type="dxa"/>
            <w:vMerge/>
          </w:tcPr>
          <w:p w14:paraId="224159DC" w14:textId="77777777" w:rsidR="009032CD" w:rsidRPr="007A55A2" w:rsidRDefault="009032CD" w:rsidP="006A7DA3">
            <w:pPr>
              <w:jc w:val="both"/>
              <w:rPr>
                <w:rFonts w:ascii="Times New Roman" w:hAnsi="Times New Roman" w:cs="Times New Roman"/>
                <w:color w:val="000000" w:themeColor="text1"/>
                <w:sz w:val="20"/>
                <w:szCs w:val="20"/>
                <w:lang w:val="lv-LV"/>
              </w:rPr>
            </w:pPr>
          </w:p>
        </w:tc>
        <w:tc>
          <w:tcPr>
            <w:tcW w:w="494" w:type="dxa"/>
            <w:vMerge/>
          </w:tcPr>
          <w:p w14:paraId="40210053" w14:textId="77777777" w:rsidR="009032CD" w:rsidRPr="007A55A2" w:rsidRDefault="009032CD" w:rsidP="006A7DA3">
            <w:pPr>
              <w:jc w:val="both"/>
              <w:rPr>
                <w:rFonts w:ascii="Times New Roman" w:hAnsi="Times New Roman" w:cs="Times New Roman"/>
                <w:color w:val="000000" w:themeColor="text1"/>
                <w:sz w:val="20"/>
                <w:szCs w:val="20"/>
                <w:lang w:val="lv-LV"/>
              </w:rPr>
            </w:pPr>
          </w:p>
        </w:tc>
        <w:tc>
          <w:tcPr>
            <w:tcW w:w="1941" w:type="dxa"/>
          </w:tcPr>
          <w:p w14:paraId="4D163ADB" w14:textId="77777777" w:rsidR="009032CD" w:rsidRPr="007A55A2" w:rsidRDefault="009032CD" w:rsidP="006A7DA3">
            <w:pP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1.1.1.9. pasākums</w:t>
            </w:r>
          </w:p>
        </w:tc>
        <w:tc>
          <w:tcPr>
            <w:tcW w:w="1401" w:type="dxa"/>
          </w:tcPr>
          <w:p w14:paraId="68DCC111" w14:textId="77777777" w:rsidR="009032CD" w:rsidRPr="007A55A2" w:rsidRDefault="009032C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MK noteikumi</w:t>
            </w:r>
          </w:p>
        </w:tc>
        <w:tc>
          <w:tcPr>
            <w:tcW w:w="1402" w:type="dxa"/>
          </w:tcPr>
          <w:p w14:paraId="77E79D63" w14:textId="77777777" w:rsidR="009032CD" w:rsidRPr="007A55A2" w:rsidRDefault="009032CD" w:rsidP="006A7DA3">
            <w:pPr>
              <w:jc w:val="both"/>
              <w:rPr>
                <w:rFonts w:ascii="Times New Roman" w:hAnsi="Times New Roman" w:cs="Times New Roman"/>
                <w:color w:val="000000" w:themeColor="text1"/>
                <w:sz w:val="20"/>
                <w:szCs w:val="20"/>
                <w:lang w:val="lv-LV"/>
              </w:rPr>
            </w:pPr>
          </w:p>
        </w:tc>
        <w:tc>
          <w:tcPr>
            <w:tcW w:w="1676" w:type="dxa"/>
          </w:tcPr>
          <w:p w14:paraId="0B8DD49B" w14:textId="50DD921C" w:rsidR="009032CD" w:rsidRPr="007A55A2" w:rsidRDefault="009032CD" w:rsidP="006A7DA3">
            <w:pPr>
              <w:jc w:val="right"/>
              <w:rPr>
                <w:rFonts w:ascii="Times New Roman" w:hAnsi="Times New Roman" w:cs="Times New Roman"/>
                <w:color w:val="000000" w:themeColor="text1"/>
                <w:sz w:val="20"/>
                <w:szCs w:val="20"/>
                <w:lang w:val="lv-LV"/>
              </w:rPr>
            </w:pPr>
          </w:p>
        </w:tc>
        <w:tc>
          <w:tcPr>
            <w:tcW w:w="1264" w:type="dxa"/>
          </w:tcPr>
          <w:p w14:paraId="5B21F8AD" w14:textId="77777777" w:rsidR="009032CD" w:rsidRPr="007A55A2" w:rsidRDefault="009032CD" w:rsidP="006A7DA3">
            <w:pPr>
              <w:jc w:val="right"/>
              <w:rPr>
                <w:rFonts w:ascii="Times New Roman" w:hAnsi="Times New Roman" w:cs="Times New Roman"/>
                <w:noProof/>
                <w:color w:val="000000" w:themeColor="text1"/>
                <w:sz w:val="20"/>
                <w:szCs w:val="20"/>
                <w:lang w:val="lv-LV"/>
              </w:rPr>
            </w:pPr>
            <w:r w:rsidRPr="007A55A2">
              <w:rPr>
                <w:rFonts w:ascii="Times New Roman" w:hAnsi="Times New Roman" w:cs="Times New Roman"/>
                <w:noProof/>
                <w:color w:val="000000" w:themeColor="text1"/>
                <w:sz w:val="20"/>
                <w:szCs w:val="20"/>
                <w:lang w:val="lv-LV"/>
              </w:rPr>
              <mc:AlternateContent>
                <mc:Choice Requires="wps">
                  <w:drawing>
                    <wp:anchor distT="0" distB="0" distL="114300" distR="114300" simplePos="0" relativeHeight="251688960" behindDoc="0" locked="0" layoutInCell="1" allowOverlap="1" wp14:anchorId="1E9E3C15" wp14:editId="4FDF5181">
                      <wp:simplePos x="0" y="0"/>
                      <wp:positionH relativeFrom="column">
                        <wp:posOffset>-51596</wp:posOffset>
                      </wp:positionH>
                      <wp:positionV relativeFrom="paragraph">
                        <wp:posOffset>18415</wp:posOffset>
                      </wp:positionV>
                      <wp:extent cx="269875" cy="129540"/>
                      <wp:effectExtent l="0" t="0" r="15875" b="22860"/>
                      <wp:wrapNone/>
                      <wp:docPr id="1528058932" name="Rectangle 3"/>
                      <wp:cNvGraphicFramePr/>
                      <a:graphic xmlns:a="http://schemas.openxmlformats.org/drawingml/2006/main">
                        <a:graphicData uri="http://schemas.microsoft.com/office/word/2010/wordprocessingShape">
                          <wps:wsp>
                            <wps:cNvSpPr/>
                            <wps:spPr>
                              <a:xfrm>
                                <a:off x="0" y="0"/>
                                <a:ext cx="269875" cy="129540"/>
                              </a:xfrm>
                              <a:prstGeom prst="rect">
                                <a:avLst/>
                              </a:prstGeom>
                              <a:solidFill>
                                <a:schemeClr val="accent2">
                                  <a:lumMod val="75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D23D7" id="Rectangle 3" o:spid="_x0000_s1026" style="position:absolute;margin-left:-4.05pt;margin-top:1.45pt;width:21.25pt;height:1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" fillcolor="#bf4e14 [2405]" strokecolor="#bf4e14 [2405]" strokeweight="1pt"/>
                  </w:pict>
                </mc:Fallback>
              </mc:AlternateContent>
            </w:r>
            <w:r w:rsidRPr="007A55A2">
              <w:rPr>
                <w:rFonts w:ascii="Times New Roman" w:hAnsi="Times New Roman" w:cs="Times New Roman"/>
                <w:noProof/>
                <w:color w:val="000000" w:themeColor="text1"/>
                <w:sz w:val="20"/>
                <w:szCs w:val="20"/>
                <w:lang w:val="lv-LV"/>
              </w:rPr>
              <w:t>15%</w:t>
            </w:r>
          </w:p>
        </w:tc>
      </w:tr>
      <w:tr w:rsidR="007A55A2" w:rsidRPr="007A55A2" w14:paraId="4FE2989D" w14:textId="77777777" w:rsidTr="00DB510F">
        <w:trPr>
          <w:jc w:val="center"/>
        </w:trPr>
        <w:tc>
          <w:tcPr>
            <w:tcW w:w="473" w:type="dxa"/>
            <w:vMerge/>
            <w:vAlign w:val="center"/>
          </w:tcPr>
          <w:p w14:paraId="0B752387" w14:textId="77777777" w:rsidR="009032CD" w:rsidRPr="007A55A2" w:rsidRDefault="009032CD" w:rsidP="009032CD">
            <w:pPr>
              <w:jc w:val="both"/>
              <w:rPr>
                <w:rFonts w:ascii="Times New Roman" w:hAnsi="Times New Roman" w:cs="Times New Roman"/>
                <w:color w:val="000000" w:themeColor="text1"/>
                <w:sz w:val="20"/>
                <w:szCs w:val="20"/>
                <w:lang w:val="lv-LV"/>
              </w:rPr>
            </w:pPr>
          </w:p>
        </w:tc>
        <w:tc>
          <w:tcPr>
            <w:tcW w:w="494" w:type="dxa"/>
            <w:vMerge/>
          </w:tcPr>
          <w:p w14:paraId="27E0A885" w14:textId="77777777" w:rsidR="009032CD" w:rsidRPr="007A55A2" w:rsidRDefault="009032CD" w:rsidP="009032CD">
            <w:pPr>
              <w:jc w:val="both"/>
              <w:rPr>
                <w:rFonts w:ascii="Times New Roman" w:hAnsi="Times New Roman" w:cs="Times New Roman"/>
                <w:color w:val="000000" w:themeColor="text1"/>
                <w:sz w:val="20"/>
                <w:szCs w:val="20"/>
                <w:lang w:val="lv-LV"/>
              </w:rPr>
            </w:pPr>
          </w:p>
        </w:tc>
        <w:tc>
          <w:tcPr>
            <w:tcW w:w="1941" w:type="dxa"/>
            <w:shd w:val="clear" w:color="auto" w:fill="D4D4D4"/>
          </w:tcPr>
          <w:p w14:paraId="70ADABD0" w14:textId="0ECF4FCC" w:rsidR="009032CD" w:rsidRPr="007A55A2" w:rsidRDefault="00C440BF" w:rsidP="009032CD">
            <w:pP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1.2.1.2. pasākums</w:t>
            </w:r>
          </w:p>
        </w:tc>
        <w:tc>
          <w:tcPr>
            <w:tcW w:w="1401" w:type="dxa"/>
            <w:shd w:val="clear" w:color="auto" w:fill="D4D4D4"/>
          </w:tcPr>
          <w:p w14:paraId="51A53EED" w14:textId="65574ECD" w:rsidR="009032CD" w:rsidRPr="007A55A2" w:rsidRDefault="009032CD" w:rsidP="009032CD">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MK noteikumi</w:t>
            </w:r>
          </w:p>
        </w:tc>
        <w:tc>
          <w:tcPr>
            <w:tcW w:w="1402" w:type="dxa"/>
            <w:shd w:val="clear" w:color="auto" w:fill="D4D4D4"/>
          </w:tcPr>
          <w:p w14:paraId="4B6BE762" w14:textId="77777777" w:rsidR="009032CD" w:rsidRPr="007A55A2" w:rsidRDefault="009032CD" w:rsidP="009032CD">
            <w:pPr>
              <w:jc w:val="both"/>
              <w:rPr>
                <w:rFonts w:ascii="Times New Roman" w:hAnsi="Times New Roman" w:cs="Times New Roman"/>
                <w:color w:val="000000" w:themeColor="text1"/>
                <w:sz w:val="20"/>
                <w:szCs w:val="20"/>
                <w:lang w:val="lv-LV"/>
              </w:rPr>
            </w:pPr>
          </w:p>
        </w:tc>
        <w:tc>
          <w:tcPr>
            <w:tcW w:w="1676" w:type="dxa"/>
            <w:shd w:val="clear" w:color="auto" w:fill="D4D4D4"/>
          </w:tcPr>
          <w:p w14:paraId="059879EA" w14:textId="1F853786" w:rsidR="009032CD" w:rsidRPr="007A55A2" w:rsidRDefault="009032CD" w:rsidP="009032CD">
            <w:pPr>
              <w:jc w:val="right"/>
              <w:rPr>
                <w:rFonts w:ascii="Times New Roman" w:hAnsi="Times New Roman" w:cs="Times New Roman"/>
                <w:noProof/>
                <w:color w:val="000000" w:themeColor="text1"/>
                <w:sz w:val="20"/>
                <w:szCs w:val="20"/>
                <w:lang w:val="lv-LV"/>
              </w:rPr>
            </w:pPr>
          </w:p>
        </w:tc>
        <w:tc>
          <w:tcPr>
            <w:tcW w:w="1264" w:type="dxa"/>
            <w:shd w:val="clear" w:color="auto" w:fill="D4D4D4"/>
          </w:tcPr>
          <w:p w14:paraId="4589BB48" w14:textId="6B51CE9F" w:rsidR="009032CD" w:rsidRPr="007A55A2" w:rsidRDefault="00E4709C" w:rsidP="009032CD">
            <w:pPr>
              <w:jc w:val="right"/>
              <w:rPr>
                <w:rFonts w:ascii="Times New Roman" w:hAnsi="Times New Roman" w:cs="Times New Roman"/>
                <w:noProof/>
                <w:color w:val="000000" w:themeColor="text1"/>
                <w:sz w:val="20"/>
                <w:szCs w:val="20"/>
                <w:lang w:val="lv-LV"/>
              </w:rPr>
            </w:pPr>
            <w:r w:rsidRPr="007A55A2">
              <w:rPr>
                <w:rFonts w:ascii="Times New Roman" w:hAnsi="Times New Roman" w:cs="Times New Roman"/>
                <w:noProof/>
                <w:color w:val="000000" w:themeColor="text1"/>
                <w:sz w:val="20"/>
                <w:szCs w:val="20"/>
                <w:lang w:val="lv-LV"/>
              </w:rPr>
              <mc:AlternateContent>
                <mc:Choice Requires="wps">
                  <w:drawing>
                    <wp:anchor distT="0" distB="0" distL="114300" distR="114300" simplePos="0" relativeHeight="251699200" behindDoc="0" locked="0" layoutInCell="1" allowOverlap="1" wp14:anchorId="669D7A64" wp14:editId="52177018">
                      <wp:simplePos x="0" y="0"/>
                      <wp:positionH relativeFrom="column">
                        <wp:posOffset>-48260</wp:posOffset>
                      </wp:positionH>
                      <wp:positionV relativeFrom="paragraph">
                        <wp:posOffset>8678</wp:posOffset>
                      </wp:positionV>
                      <wp:extent cx="269875" cy="129540"/>
                      <wp:effectExtent l="0" t="0" r="15875" b="22860"/>
                      <wp:wrapNone/>
                      <wp:docPr id="1637243426" name="Rectangle 3"/>
                      <wp:cNvGraphicFramePr/>
                      <a:graphic xmlns:a="http://schemas.openxmlformats.org/drawingml/2006/main">
                        <a:graphicData uri="http://schemas.microsoft.com/office/word/2010/wordprocessingShape">
                          <wps:wsp>
                            <wps:cNvSpPr/>
                            <wps:spPr>
                              <a:xfrm>
                                <a:off x="0" y="0"/>
                                <a:ext cx="269875" cy="129540"/>
                              </a:xfrm>
                              <a:prstGeom prst="rect">
                                <a:avLst/>
                              </a:prstGeom>
                              <a:solidFill>
                                <a:schemeClr val="accent2">
                                  <a:lumMod val="75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6CE99" id="Rectangle 3" o:spid="_x0000_s1026" style="position:absolute;margin-left:-3.8pt;margin-top:.7pt;width:21.25pt;height:10.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" fillcolor="#bf4e14 [2405]" strokecolor="#bf4e14 [2405]" strokeweight="1pt"/>
                  </w:pict>
                </mc:Fallback>
              </mc:AlternateContent>
            </w:r>
            <w:r w:rsidRPr="007A55A2">
              <w:rPr>
                <w:rFonts w:ascii="Times New Roman" w:hAnsi="Times New Roman" w:cs="Times New Roman"/>
                <w:noProof/>
                <w:color w:val="000000" w:themeColor="text1"/>
                <w:sz w:val="20"/>
                <w:szCs w:val="20"/>
                <w:lang w:val="lv-LV"/>
              </w:rPr>
              <w:t>15%</w:t>
            </w:r>
          </w:p>
        </w:tc>
      </w:tr>
      <w:tr w:rsidR="007A55A2" w:rsidRPr="007A55A2" w14:paraId="7D075209" w14:textId="77777777" w:rsidTr="009638BD">
        <w:trPr>
          <w:jc w:val="center"/>
        </w:trPr>
        <w:tc>
          <w:tcPr>
            <w:tcW w:w="473" w:type="dxa"/>
            <w:vMerge/>
            <w:vAlign w:val="center"/>
          </w:tcPr>
          <w:p w14:paraId="4305A89C" w14:textId="77777777" w:rsidR="009032CD" w:rsidRPr="007A55A2" w:rsidRDefault="009032CD" w:rsidP="009032CD">
            <w:pPr>
              <w:jc w:val="both"/>
              <w:rPr>
                <w:rFonts w:ascii="Times New Roman" w:hAnsi="Times New Roman" w:cs="Times New Roman"/>
                <w:color w:val="000000" w:themeColor="text1"/>
                <w:sz w:val="20"/>
                <w:szCs w:val="20"/>
                <w:lang w:val="lv-LV"/>
              </w:rPr>
            </w:pPr>
          </w:p>
        </w:tc>
        <w:tc>
          <w:tcPr>
            <w:tcW w:w="494" w:type="dxa"/>
            <w:vMerge/>
          </w:tcPr>
          <w:p w14:paraId="4B223FE3" w14:textId="77777777" w:rsidR="009032CD" w:rsidRPr="007A55A2" w:rsidRDefault="009032CD" w:rsidP="009032CD">
            <w:pPr>
              <w:jc w:val="both"/>
              <w:rPr>
                <w:rFonts w:ascii="Times New Roman" w:hAnsi="Times New Roman" w:cs="Times New Roman"/>
                <w:color w:val="000000" w:themeColor="text1"/>
                <w:sz w:val="20"/>
                <w:szCs w:val="20"/>
                <w:lang w:val="lv-LV"/>
              </w:rPr>
            </w:pPr>
          </w:p>
        </w:tc>
        <w:tc>
          <w:tcPr>
            <w:tcW w:w="1941" w:type="dxa"/>
          </w:tcPr>
          <w:p w14:paraId="7BF9D1C9" w14:textId="0DD8B4FF" w:rsidR="009032CD" w:rsidRPr="007A55A2" w:rsidRDefault="00E4709C" w:rsidP="009032CD">
            <w:pP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1.2.1.4. pasākums</w:t>
            </w:r>
          </w:p>
        </w:tc>
        <w:tc>
          <w:tcPr>
            <w:tcW w:w="1401" w:type="dxa"/>
          </w:tcPr>
          <w:p w14:paraId="39F2028F" w14:textId="6176F5F2" w:rsidR="009032CD" w:rsidRPr="007A55A2" w:rsidRDefault="009032CD" w:rsidP="009032CD">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MK noteikumi</w:t>
            </w:r>
          </w:p>
        </w:tc>
        <w:tc>
          <w:tcPr>
            <w:tcW w:w="1402" w:type="dxa"/>
          </w:tcPr>
          <w:p w14:paraId="1458E937" w14:textId="77777777" w:rsidR="009032CD" w:rsidRPr="007A55A2" w:rsidRDefault="009032CD" w:rsidP="009032CD">
            <w:pPr>
              <w:jc w:val="both"/>
              <w:rPr>
                <w:rFonts w:ascii="Times New Roman" w:hAnsi="Times New Roman" w:cs="Times New Roman"/>
                <w:color w:val="000000" w:themeColor="text1"/>
                <w:sz w:val="20"/>
                <w:szCs w:val="20"/>
                <w:lang w:val="lv-LV"/>
              </w:rPr>
            </w:pPr>
          </w:p>
        </w:tc>
        <w:tc>
          <w:tcPr>
            <w:tcW w:w="1676" w:type="dxa"/>
          </w:tcPr>
          <w:p w14:paraId="31F79E7A" w14:textId="7DAE3483" w:rsidR="009032CD" w:rsidRPr="007A55A2" w:rsidRDefault="009032CD" w:rsidP="006551C4">
            <w:pPr>
              <w:rPr>
                <w:rFonts w:ascii="Times New Roman" w:hAnsi="Times New Roman" w:cs="Times New Roman"/>
                <w:noProof/>
                <w:color w:val="000000" w:themeColor="text1"/>
                <w:sz w:val="20"/>
                <w:szCs w:val="20"/>
                <w:lang w:val="lv-LV"/>
              </w:rPr>
            </w:pPr>
          </w:p>
        </w:tc>
        <w:tc>
          <w:tcPr>
            <w:tcW w:w="1264" w:type="dxa"/>
          </w:tcPr>
          <w:p w14:paraId="03876A58" w14:textId="72CD26C5" w:rsidR="009032CD" w:rsidRPr="007A55A2" w:rsidRDefault="00E4709C" w:rsidP="009032CD">
            <w:pPr>
              <w:jc w:val="right"/>
              <w:rPr>
                <w:rFonts w:ascii="Times New Roman" w:hAnsi="Times New Roman" w:cs="Times New Roman"/>
                <w:noProof/>
                <w:color w:val="000000" w:themeColor="text1"/>
                <w:sz w:val="20"/>
                <w:szCs w:val="20"/>
                <w:lang w:val="lv-LV"/>
              </w:rPr>
            </w:pPr>
            <w:r w:rsidRPr="007A55A2">
              <w:rPr>
                <w:rFonts w:ascii="Times New Roman" w:hAnsi="Times New Roman" w:cs="Times New Roman"/>
                <w:noProof/>
                <w:color w:val="000000" w:themeColor="text1"/>
                <w:sz w:val="20"/>
                <w:szCs w:val="20"/>
                <w:lang w:val="lv-LV"/>
              </w:rPr>
              <mc:AlternateContent>
                <mc:Choice Requires="wps">
                  <w:drawing>
                    <wp:anchor distT="0" distB="0" distL="114300" distR="114300" simplePos="0" relativeHeight="251701248" behindDoc="0" locked="0" layoutInCell="1" allowOverlap="1" wp14:anchorId="43553739" wp14:editId="6EA1D93A">
                      <wp:simplePos x="0" y="0"/>
                      <wp:positionH relativeFrom="column">
                        <wp:posOffset>-48260</wp:posOffset>
                      </wp:positionH>
                      <wp:positionV relativeFrom="paragraph">
                        <wp:posOffset>8678</wp:posOffset>
                      </wp:positionV>
                      <wp:extent cx="269875" cy="129540"/>
                      <wp:effectExtent l="0" t="0" r="15875" b="22860"/>
                      <wp:wrapNone/>
                      <wp:docPr id="1678783429" name="Rectangle 3"/>
                      <wp:cNvGraphicFramePr/>
                      <a:graphic xmlns:a="http://schemas.openxmlformats.org/drawingml/2006/main">
                        <a:graphicData uri="http://schemas.microsoft.com/office/word/2010/wordprocessingShape">
                          <wps:wsp>
                            <wps:cNvSpPr/>
                            <wps:spPr>
                              <a:xfrm>
                                <a:off x="0" y="0"/>
                                <a:ext cx="269875" cy="129540"/>
                              </a:xfrm>
                              <a:prstGeom prst="rect">
                                <a:avLst/>
                              </a:prstGeom>
                              <a:solidFill>
                                <a:schemeClr val="accent2">
                                  <a:lumMod val="75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47639" id="Rectangle 3" o:spid="_x0000_s1026" style="position:absolute;margin-left:-3.8pt;margin-top:.7pt;width:21.25pt;height:10.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" fillcolor="#bf4e14 [2405]" strokecolor="#bf4e14 [2405]" strokeweight="1pt"/>
                  </w:pict>
                </mc:Fallback>
              </mc:AlternateContent>
            </w:r>
            <w:r w:rsidRPr="007A55A2">
              <w:rPr>
                <w:rFonts w:ascii="Times New Roman" w:hAnsi="Times New Roman" w:cs="Times New Roman"/>
                <w:noProof/>
                <w:color w:val="000000" w:themeColor="text1"/>
                <w:sz w:val="20"/>
                <w:szCs w:val="20"/>
                <w:lang w:val="lv-LV"/>
              </w:rPr>
              <w:t>15%</w:t>
            </w:r>
          </w:p>
        </w:tc>
      </w:tr>
      <w:tr w:rsidR="007A55A2" w:rsidRPr="007A55A2" w14:paraId="33A1378F" w14:textId="77777777" w:rsidTr="009638BD">
        <w:trPr>
          <w:jc w:val="center"/>
        </w:trPr>
        <w:tc>
          <w:tcPr>
            <w:tcW w:w="473" w:type="dxa"/>
            <w:vMerge w:val="restart"/>
            <w:vAlign w:val="center"/>
          </w:tcPr>
          <w:p w14:paraId="6641D6A1" w14:textId="77777777" w:rsidR="00EA211D" w:rsidRPr="007A55A2" w:rsidRDefault="00EA211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St</w:t>
            </w:r>
          </w:p>
        </w:tc>
        <w:tc>
          <w:tcPr>
            <w:tcW w:w="494" w:type="dxa"/>
          </w:tcPr>
          <w:p w14:paraId="06D3CF2F" w14:textId="77777777" w:rsidR="00EA211D" w:rsidRPr="007A55A2" w:rsidRDefault="00EA211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VB</w:t>
            </w:r>
          </w:p>
        </w:tc>
        <w:tc>
          <w:tcPr>
            <w:tcW w:w="1941" w:type="dxa"/>
          </w:tcPr>
          <w:p w14:paraId="06BFF8BF" w14:textId="77777777" w:rsidR="00EA211D" w:rsidRPr="007A55A2" w:rsidRDefault="00EA211D" w:rsidP="006A7DA3">
            <w:pP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Starp. sadarbības</w:t>
            </w:r>
            <w:r w:rsidRPr="007A55A2">
              <w:rPr>
                <w:rFonts w:ascii="Times New Roman" w:hAnsi="Times New Roman" w:cs="Times New Roman"/>
                <w:color w:val="000000" w:themeColor="text1"/>
                <w:sz w:val="20"/>
                <w:szCs w:val="20"/>
                <w:vertAlign w:val="superscript"/>
                <w:lang w:val="lv-LV"/>
              </w:rPr>
              <w:t>3</w:t>
            </w:r>
          </w:p>
        </w:tc>
        <w:tc>
          <w:tcPr>
            <w:tcW w:w="1401" w:type="dxa"/>
          </w:tcPr>
          <w:p w14:paraId="0DB6737C" w14:textId="77777777" w:rsidR="00EA211D" w:rsidRPr="007A55A2" w:rsidRDefault="00EA211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MK noteikumi</w:t>
            </w:r>
          </w:p>
        </w:tc>
        <w:tc>
          <w:tcPr>
            <w:tcW w:w="1402" w:type="dxa"/>
          </w:tcPr>
          <w:p w14:paraId="2B790316" w14:textId="77777777" w:rsidR="00EA211D" w:rsidRPr="007A55A2" w:rsidRDefault="00EA211D" w:rsidP="006A7DA3">
            <w:pPr>
              <w:jc w:val="both"/>
              <w:rPr>
                <w:rFonts w:ascii="Times New Roman" w:hAnsi="Times New Roman" w:cs="Times New Roman"/>
                <w:color w:val="000000" w:themeColor="text1"/>
                <w:sz w:val="20"/>
                <w:szCs w:val="20"/>
                <w:lang w:val="lv-LV"/>
              </w:rPr>
            </w:pPr>
          </w:p>
        </w:tc>
        <w:tc>
          <w:tcPr>
            <w:tcW w:w="1676" w:type="dxa"/>
          </w:tcPr>
          <w:p w14:paraId="5C782ED1" w14:textId="77777777" w:rsidR="00EA211D" w:rsidRPr="007A55A2" w:rsidRDefault="00EA211D" w:rsidP="006A7DA3">
            <w:pPr>
              <w:jc w:val="right"/>
              <w:rPr>
                <w:rFonts w:ascii="Times New Roman" w:hAnsi="Times New Roman" w:cs="Times New Roman"/>
                <w:color w:val="000000" w:themeColor="text1"/>
                <w:sz w:val="20"/>
                <w:szCs w:val="20"/>
                <w:lang w:val="lv-LV"/>
              </w:rPr>
            </w:pPr>
            <w:r w:rsidRPr="007A55A2">
              <w:rPr>
                <w:rFonts w:ascii="Times New Roman" w:hAnsi="Times New Roman" w:cs="Times New Roman"/>
                <w:noProof/>
                <w:color w:val="000000" w:themeColor="text1"/>
                <w:sz w:val="20"/>
                <w:szCs w:val="20"/>
                <w:lang w:val="lv-LV"/>
              </w:rPr>
              <mc:AlternateContent>
                <mc:Choice Requires="wps">
                  <w:drawing>
                    <wp:anchor distT="0" distB="0" distL="114300" distR="114300" simplePos="0" relativeHeight="251667456" behindDoc="0" locked="0" layoutInCell="1" allowOverlap="1" wp14:anchorId="6F183A5C" wp14:editId="0F83D003">
                      <wp:simplePos x="0" y="0"/>
                      <wp:positionH relativeFrom="column">
                        <wp:posOffset>-51435</wp:posOffset>
                      </wp:positionH>
                      <wp:positionV relativeFrom="page">
                        <wp:posOffset>9999</wp:posOffset>
                      </wp:positionV>
                      <wp:extent cx="450000" cy="129600"/>
                      <wp:effectExtent l="38100" t="0" r="26670" b="41910"/>
                      <wp:wrapNone/>
                      <wp:docPr id="982504244" name="Right Triangle 4"/>
                      <wp:cNvGraphicFramePr/>
                      <a:graphic xmlns:a="http://schemas.openxmlformats.org/drawingml/2006/main">
                        <a:graphicData uri="http://schemas.microsoft.com/office/word/2010/wordprocessingShape">
                          <wps:wsp>
                            <wps:cNvSpPr/>
                            <wps:spPr>
                              <a:xfrm rot="10800000">
                                <a:off x="0" y="0"/>
                                <a:ext cx="450000" cy="129600"/>
                              </a:xfrm>
                              <a:prstGeom prst="rtTriangle">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BFD4A" id="Right Triangle 4" o:spid="_x0000_s1026" type="#_x0000_t6" style="position:absolute;margin-left:-4.05pt;margin-top:.8pt;width:35.45pt;height:10.2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" fillcolor="#00b050" strokecolor="#00b050" strokeweight="1pt">
                      <w10:wrap anchory="page"/>
                    </v:shape>
                  </w:pict>
                </mc:Fallback>
              </mc:AlternateContent>
            </w:r>
            <w:r w:rsidRPr="007A55A2">
              <w:rPr>
                <w:rFonts w:ascii="Times New Roman" w:hAnsi="Times New Roman" w:cs="Times New Roman"/>
                <w:color w:val="000000" w:themeColor="text1"/>
                <w:sz w:val="20"/>
                <w:szCs w:val="20"/>
                <w:lang w:val="lv-LV"/>
              </w:rPr>
              <w:t>līdz 25%</w:t>
            </w:r>
          </w:p>
        </w:tc>
        <w:tc>
          <w:tcPr>
            <w:tcW w:w="1264" w:type="dxa"/>
          </w:tcPr>
          <w:p w14:paraId="09A9013D" w14:textId="77777777" w:rsidR="00EA211D" w:rsidRPr="007A55A2" w:rsidRDefault="00EA211D" w:rsidP="006A7DA3">
            <w:pPr>
              <w:jc w:val="right"/>
              <w:rPr>
                <w:rFonts w:ascii="Times New Roman" w:hAnsi="Times New Roman" w:cs="Times New Roman"/>
                <w:noProof/>
                <w:color w:val="000000" w:themeColor="text1"/>
                <w:sz w:val="20"/>
                <w:szCs w:val="20"/>
                <w:lang w:val="lv-LV"/>
              </w:rPr>
            </w:pPr>
          </w:p>
        </w:tc>
      </w:tr>
      <w:tr w:rsidR="007A55A2" w:rsidRPr="007A55A2" w14:paraId="2AA8690E" w14:textId="77777777" w:rsidTr="009638BD">
        <w:trPr>
          <w:jc w:val="center"/>
        </w:trPr>
        <w:tc>
          <w:tcPr>
            <w:tcW w:w="473" w:type="dxa"/>
            <w:vMerge/>
          </w:tcPr>
          <w:p w14:paraId="4ADD3DD8" w14:textId="77777777" w:rsidR="00EA211D" w:rsidRPr="007A55A2" w:rsidRDefault="00EA211D" w:rsidP="006A7DA3">
            <w:pPr>
              <w:jc w:val="both"/>
              <w:rPr>
                <w:rFonts w:ascii="Times New Roman" w:hAnsi="Times New Roman" w:cs="Times New Roman"/>
                <w:color w:val="000000" w:themeColor="text1"/>
                <w:sz w:val="20"/>
                <w:szCs w:val="20"/>
                <w:lang w:val="lv-LV"/>
              </w:rPr>
            </w:pPr>
          </w:p>
        </w:tc>
        <w:tc>
          <w:tcPr>
            <w:tcW w:w="494" w:type="dxa"/>
          </w:tcPr>
          <w:p w14:paraId="249A5998" w14:textId="77777777" w:rsidR="00EA211D" w:rsidRPr="007A55A2" w:rsidRDefault="00EA211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ES</w:t>
            </w:r>
          </w:p>
        </w:tc>
        <w:tc>
          <w:tcPr>
            <w:tcW w:w="1941" w:type="dxa"/>
          </w:tcPr>
          <w:p w14:paraId="506BD2B1" w14:textId="77777777" w:rsidR="00EA211D" w:rsidRPr="007A55A2" w:rsidRDefault="00EA211D" w:rsidP="006A7DA3">
            <w:pP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Apvārsnis Eiropa</w:t>
            </w:r>
          </w:p>
        </w:tc>
        <w:tc>
          <w:tcPr>
            <w:tcW w:w="1401" w:type="dxa"/>
          </w:tcPr>
          <w:p w14:paraId="537EAC29" w14:textId="77777777" w:rsidR="00EA211D" w:rsidRPr="007A55A2" w:rsidRDefault="00EA211D" w:rsidP="006A7DA3">
            <w:pPr>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ES Regula</w:t>
            </w:r>
          </w:p>
        </w:tc>
        <w:tc>
          <w:tcPr>
            <w:tcW w:w="1402" w:type="dxa"/>
          </w:tcPr>
          <w:p w14:paraId="3D9F9542" w14:textId="77777777" w:rsidR="00EA211D" w:rsidRPr="007A55A2" w:rsidRDefault="00EA211D" w:rsidP="006A7DA3">
            <w:pPr>
              <w:jc w:val="both"/>
              <w:rPr>
                <w:rFonts w:ascii="Times New Roman" w:hAnsi="Times New Roman" w:cs="Times New Roman"/>
                <w:color w:val="000000" w:themeColor="text1"/>
                <w:sz w:val="20"/>
                <w:szCs w:val="20"/>
                <w:lang w:val="lv-LV"/>
              </w:rPr>
            </w:pPr>
          </w:p>
        </w:tc>
        <w:tc>
          <w:tcPr>
            <w:tcW w:w="1676" w:type="dxa"/>
          </w:tcPr>
          <w:p w14:paraId="2E2DE230" w14:textId="77777777" w:rsidR="00EA211D" w:rsidRPr="007A55A2" w:rsidRDefault="00EA211D" w:rsidP="006A7DA3">
            <w:pPr>
              <w:jc w:val="right"/>
              <w:rPr>
                <w:rFonts w:ascii="Times New Roman" w:hAnsi="Times New Roman" w:cs="Times New Roman"/>
                <w:color w:val="000000" w:themeColor="text1"/>
                <w:sz w:val="20"/>
                <w:szCs w:val="20"/>
                <w:lang w:val="lv-LV"/>
              </w:rPr>
            </w:pPr>
            <w:r w:rsidRPr="007A55A2">
              <w:rPr>
                <w:rFonts w:ascii="Times New Roman" w:hAnsi="Times New Roman" w:cs="Times New Roman"/>
                <w:noProof/>
                <w:color w:val="000000" w:themeColor="text1"/>
                <w:sz w:val="20"/>
                <w:szCs w:val="20"/>
                <w:lang w:val="lv-LV"/>
              </w:rPr>
              <mc:AlternateContent>
                <mc:Choice Requires="wps">
                  <w:drawing>
                    <wp:anchor distT="0" distB="0" distL="114300" distR="114300" simplePos="0" relativeHeight="251666432" behindDoc="0" locked="0" layoutInCell="1" allowOverlap="1" wp14:anchorId="4ECFCED7" wp14:editId="153F0073">
                      <wp:simplePos x="0" y="0"/>
                      <wp:positionH relativeFrom="column">
                        <wp:posOffset>-53814</wp:posOffset>
                      </wp:positionH>
                      <wp:positionV relativeFrom="paragraph">
                        <wp:posOffset>16510</wp:posOffset>
                      </wp:positionV>
                      <wp:extent cx="449580" cy="129540"/>
                      <wp:effectExtent l="0" t="0" r="26670" b="22860"/>
                      <wp:wrapNone/>
                      <wp:docPr id="1114538174" name="Rectangle 3"/>
                      <wp:cNvGraphicFramePr/>
                      <a:graphic xmlns:a="http://schemas.openxmlformats.org/drawingml/2006/main">
                        <a:graphicData uri="http://schemas.microsoft.com/office/word/2010/wordprocessingShape">
                          <wps:wsp>
                            <wps:cNvSpPr/>
                            <wps:spPr>
                              <a:xfrm>
                                <a:off x="0" y="0"/>
                                <a:ext cx="449580" cy="129540"/>
                              </a:xfrm>
                              <a:prstGeom prst="rect">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B14ED" id="Rectangle 3" o:spid="_x0000_s1026" style="position:absolute;margin-left:-4.25pt;margin-top:1.3pt;width:35.4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" fillcolor="#00b050" strokecolor="#00b050" strokeweight="1pt"/>
                  </w:pict>
                </mc:Fallback>
              </mc:AlternateContent>
            </w:r>
            <w:r w:rsidRPr="007A55A2">
              <w:rPr>
                <w:rFonts w:ascii="Times New Roman" w:hAnsi="Times New Roman" w:cs="Times New Roman"/>
                <w:color w:val="000000" w:themeColor="text1"/>
                <w:sz w:val="20"/>
                <w:szCs w:val="20"/>
                <w:lang w:val="lv-LV"/>
              </w:rPr>
              <w:t>25%</w:t>
            </w:r>
          </w:p>
        </w:tc>
        <w:tc>
          <w:tcPr>
            <w:tcW w:w="1264" w:type="dxa"/>
          </w:tcPr>
          <w:p w14:paraId="314B23C7" w14:textId="77777777" w:rsidR="00EA211D" w:rsidRPr="007A55A2" w:rsidRDefault="00EA211D" w:rsidP="006A7DA3">
            <w:pPr>
              <w:jc w:val="right"/>
              <w:rPr>
                <w:rFonts w:ascii="Times New Roman" w:hAnsi="Times New Roman" w:cs="Times New Roman"/>
                <w:noProof/>
                <w:color w:val="000000" w:themeColor="text1"/>
                <w:sz w:val="20"/>
                <w:szCs w:val="20"/>
                <w:lang w:val="lv-LV"/>
              </w:rPr>
            </w:pPr>
          </w:p>
        </w:tc>
      </w:tr>
    </w:tbl>
    <w:p w14:paraId="19D2F6CF" w14:textId="77777777" w:rsidR="00EA211D" w:rsidRPr="007A55A2" w:rsidRDefault="00EA211D" w:rsidP="00AC61B0">
      <w:pPr>
        <w:spacing w:before="120" w:after="0" w:line="240" w:lineRule="auto"/>
        <w:ind w:left="142"/>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vertAlign w:val="superscript"/>
          <w:lang w:val="lv-LV"/>
        </w:rPr>
        <w:t>1</w:t>
      </w:r>
      <w:r w:rsidRPr="007A55A2">
        <w:rPr>
          <w:rFonts w:ascii="Times New Roman" w:hAnsi="Times New Roman" w:cs="Times New Roman"/>
          <w:color w:val="000000" w:themeColor="text1"/>
          <w:sz w:val="20"/>
          <w:szCs w:val="20"/>
          <w:lang w:val="lv-LV"/>
        </w:rPr>
        <w:t xml:space="preserve"> izņemot VPP “Latvijas kultūra – resurss valsts attīstībai”;</w:t>
      </w:r>
    </w:p>
    <w:p w14:paraId="4D5329EE" w14:textId="77777777" w:rsidR="00EA211D" w:rsidRPr="007A55A2" w:rsidRDefault="00EA211D" w:rsidP="00EA211D">
      <w:pPr>
        <w:spacing w:after="0" w:line="240" w:lineRule="auto"/>
        <w:ind w:left="142"/>
        <w:jc w:val="both"/>
        <w:rPr>
          <w:rFonts w:ascii="Times New Roman" w:hAnsi="Times New Roman" w:cs="Times New Roman"/>
          <w:noProof/>
          <w:color w:val="000000" w:themeColor="text1"/>
          <w:sz w:val="20"/>
          <w:szCs w:val="20"/>
          <w:lang w:val="lv-LV"/>
        </w:rPr>
      </w:pPr>
      <w:r w:rsidRPr="007A55A2">
        <w:rPr>
          <w:rFonts w:ascii="Times New Roman" w:hAnsi="Times New Roman" w:cs="Times New Roman"/>
          <w:color w:val="000000" w:themeColor="text1"/>
          <w:sz w:val="20"/>
          <w:szCs w:val="20"/>
          <w:vertAlign w:val="superscript"/>
          <w:lang w:val="lv-LV"/>
        </w:rPr>
        <w:t>2</w:t>
      </w:r>
      <w:r w:rsidRPr="007A55A2">
        <w:rPr>
          <w:rFonts w:ascii="Times New Roman" w:hAnsi="Times New Roman" w:cs="Times New Roman"/>
          <w:color w:val="000000" w:themeColor="text1"/>
          <w:sz w:val="20"/>
          <w:szCs w:val="20"/>
          <w:lang w:val="lv-LV"/>
        </w:rPr>
        <w:t xml:space="preserve"> VPP “Latvijas kultūra – resurss valsts attīstībai”;</w:t>
      </w:r>
      <w:r w:rsidRPr="007A55A2">
        <w:rPr>
          <w:rFonts w:ascii="Times New Roman" w:hAnsi="Times New Roman" w:cs="Times New Roman"/>
          <w:noProof/>
          <w:color w:val="000000" w:themeColor="text1"/>
          <w:sz w:val="20"/>
          <w:szCs w:val="20"/>
          <w:lang w:val="lv-LV"/>
        </w:rPr>
        <w:t xml:space="preserve"> </w:t>
      </w:r>
    </w:p>
    <w:p w14:paraId="0A7C7B49" w14:textId="77777777" w:rsidR="00EA211D" w:rsidRPr="007A55A2" w:rsidRDefault="00EA211D" w:rsidP="00EA211D">
      <w:pPr>
        <w:spacing w:after="0" w:line="240" w:lineRule="auto"/>
        <w:ind w:left="142" w:right="282"/>
        <w:jc w:val="both"/>
        <w:rPr>
          <w:rFonts w:ascii="Times New Roman" w:hAnsi="Times New Roman" w:cs="Times New Roman"/>
          <w:color w:val="000000" w:themeColor="text1"/>
          <w:sz w:val="20"/>
          <w:szCs w:val="20"/>
          <w:lang w:val="lv-LV"/>
        </w:rPr>
      </w:pPr>
      <w:r w:rsidRPr="007A55A2">
        <w:rPr>
          <w:rFonts w:ascii="Times New Roman" w:hAnsi="Times New Roman" w:cs="Times New Roman"/>
          <w:noProof/>
          <w:color w:val="000000" w:themeColor="text1"/>
          <w:sz w:val="20"/>
          <w:szCs w:val="20"/>
          <w:vertAlign w:val="superscript"/>
          <w:lang w:val="lv-LV"/>
        </w:rPr>
        <w:t>3</w:t>
      </w:r>
      <w:r w:rsidRPr="007A55A2">
        <w:rPr>
          <w:rFonts w:ascii="Times New Roman" w:hAnsi="Times New Roman" w:cs="Times New Roman"/>
          <w:noProof/>
          <w:color w:val="000000" w:themeColor="text1"/>
          <w:sz w:val="20"/>
          <w:szCs w:val="20"/>
          <w:lang w:val="lv-LV"/>
        </w:rPr>
        <w:t xml:space="preserve"> ERA-NET, Eiropas partnerību, EUREKA … projekti, pilnu uzskaitījumu skat. 2015. gada 26. maija Ministru kabineta noteikumi Nr.259 “Atbalsta piešķiršanas kārtība dalībai starptautiskās sadarbības programmās pētniecības un tehnoloģiju jomā”.</w:t>
      </w:r>
    </w:p>
    <w:p w14:paraId="2738FAB7" w14:textId="77777777" w:rsidR="00EA211D" w:rsidRPr="007A55A2" w:rsidRDefault="00EA211D" w:rsidP="009031DF">
      <w:pPr>
        <w:ind w:firstLine="709"/>
        <w:jc w:val="both"/>
        <w:rPr>
          <w:rFonts w:ascii="Times New Roman" w:hAnsi="Times New Roman" w:cs="Times New Roman"/>
          <w:color w:val="000000" w:themeColor="text1"/>
          <w:lang w:val="lv-LV"/>
        </w:rPr>
      </w:pPr>
    </w:p>
    <w:p w14:paraId="2E5849B1" w14:textId="15EF6A36" w:rsidR="007F0B77" w:rsidRPr="007A55A2" w:rsidRDefault="007F0B77" w:rsidP="00EA211D">
      <w:pPr>
        <w:keepNext/>
        <w:pageBreakBefore/>
        <w:spacing w:before="480"/>
        <w:jc w:val="center"/>
        <w:rPr>
          <w:rFonts w:ascii="Times New Roman" w:hAnsi="Times New Roman" w:cs="Times New Roman"/>
          <w:b/>
          <w:bCs/>
          <w:color w:val="000000" w:themeColor="text1"/>
          <w:lang w:val="lv-LV"/>
        </w:rPr>
      </w:pPr>
      <w:r w:rsidRPr="007A55A2">
        <w:rPr>
          <w:rFonts w:ascii="Times New Roman" w:hAnsi="Times New Roman" w:cs="Times New Roman"/>
          <w:b/>
          <w:bCs/>
          <w:color w:val="000000" w:themeColor="text1"/>
          <w:lang w:val="lv-LV"/>
        </w:rPr>
        <w:lastRenderedPageBreak/>
        <w:t>Valsts pētījumu programma</w:t>
      </w:r>
      <w:r w:rsidR="005449AC" w:rsidRPr="007A55A2">
        <w:rPr>
          <w:rFonts w:ascii="Times New Roman" w:hAnsi="Times New Roman" w:cs="Times New Roman"/>
          <w:b/>
          <w:bCs/>
          <w:color w:val="000000" w:themeColor="text1"/>
          <w:lang w:val="lv-LV"/>
        </w:rPr>
        <w:t>s</w:t>
      </w:r>
      <w:r w:rsidRPr="007A55A2">
        <w:rPr>
          <w:rFonts w:ascii="Times New Roman" w:hAnsi="Times New Roman" w:cs="Times New Roman"/>
          <w:b/>
          <w:bCs/>
          <w:color w:val="000000" w:themeColor="text1"/>
          <w:lang w:val="lv-LV"/>
        </w:rPr>
        <w:t xml:space="preserve"> un Fundamentālo un </w:t>
      </w:r>
      <w:r w:rsidR="00E43246">
        <w:rPr>
          <w:rFonts w:ascii="Times New Roman" w:hAnsi="Times New Roman" w:cs="Times New Roman"/>
          <w:b/>
          <w:bCs/>
          <w:color w:val="000000" w:themeColor="text1"/>
          <w:lang w:val="lv-LV"/>
        </w:rPr>
        <w:t>l</w:t>
      </w:r>
      <w:r w:rsidRPr="007A55A2">
        <w:rPr>
          <w:rFonts w:ascii="Times New Roman" w:hAnsi="Times New Roman" w:cs="Times New Roman"/>
          <w:b/>
          <w:bCs/>
          <w:color w:val="000000" w:themeColor="text1"/>
          <w:lang w:val="lv-LV"/>
        </w:rPr>
        <w:t>ietišķo pētījumu projekti</w:t>
      </w:r>
    </w:p>
    <w:p w14:paraId="0C0FDDBA" w14:textId="77777777" w:rsidR="007F0B77" w:rsidRPr="007A55A2" w:rsidRDefault="007F0B77" w:rsidP="009031DF">
      <w:pPr>
        <w:ind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VPP, kas tika uzsāktas no 2018. gada, konkursu un projektu īstenošanas kārtību nosaka MK noteikumi Nr. 560</w:t>
      </w:r>
      <w:r w:rsidRPr="007A55A2">
        <w:rPr>
          <w:rStyle w:val="FootnoteReference"/>
          <w:rFonts w:ascii="Times New Roman" w:hAnsi="Times New Roman" w:cs="Times New Roman"/>
          <w:color w:val="000000" w:themeColor="text1"/>
          <w:lang w:val="lv-LV"/>
        </w:rPr>
        <w:footnoteReference w:id="2"/>
      </w:r>
      <w:r w:rsidRPr="007A55A2">
        <w:rPr>
          <w:rFonts w:ascii="Times New Roman" w:hAnsi="Times New Roman" w:cs="Times New Roman"/>
          <w:color w:val="000000" w:themeColor="text1"/>
          <w:lang w:val="lv-LV"/>
        </w:rPr>
        <w:t xml:space="preserve">. Šo MK noteikumu pamata versijas (spēkā līdz 08.06.2023) paredzēja fiksētu netiešo izmaksu likmi </w:t>
      </w:r>
    </w:p>
    <w:p w14:paraId="57B9D48D" w14:textId="77777777" w:rsidR="007F0B77" w:rsidRPr="007A55A2" w:rsidRDefault="007F0B77" w:rsidP="009031DF">
      <w:pPr>
        <w:ind w:left="851"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w:t>
      </w:r>
      <w:r w:rsidRPr="007A55A2">
        <w:rPr>
          <w:rFonts w:ascii="Times New Roman" w:hAnsi="Times New Roman" w:cs="Times New Roman"/>
          <w:i/>
          <w:iCs/>
          <w:color w:val="000000" w:themeColor="text1"/>
          <w:lang w:val="lv-LV"/>
        </w:rPr>
        <w:t>… 25 procentu apmērā no … tiešo attiecināmo izmaksu kopsummas.</w:t>
      </w:r>
      <w:r w:rsidRPr="007A55A2">
        <w:rPr>
          <w:rFonts w:ascii="Times New Roman" w:hAnsi="Times New Roman" w:cs="Times New Roman"/>
          <w:color w:val="000000" w:themeColor="text1"/>
          <w:lang w:val="lv-LV"/>
        </w:rPr>
        <w:t>” (14.2. punkts).</w:t>
      </w:r>
    </w:p>
    <w:p w14:paraId="0F1C16F8" w14:textId="77777777" w:rsidR="007F0B77" w:rsidRPr="007A55A2" w:rsidRDefault="007F0B77" w:rsidP="007F0B77">
      <w:pPr>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Līdz ar to atsevišķu VPP konkursu nolikumi neparedzēja papildu regulāciju attiecībā pret netiešo izmaksu apmēru.</w:t>
      </w:r>
    </w:p>
    <w:p w14:paraId="11F1AEA5" w14:textId="77777777" w:rsidR="007F0B77" w:rsidRPr="007A55A2" w:rsidRDefault="007F0B77" w:rsidP="009031DF">
      <w:pPr>
        <w:ind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Savukārt MK noteikumu 06.06.2023. (spēkā no 09.06.2023) grozījumi</w:t>
      </w:r>
      <w:r w:rsidRPr="007A55A2">
        <w:rPr>
          <w:rStyle w:val="FootnoteReference"/>
          <w:rFonts w:ascii="Times New Roman" w:hAnsi="Times New Roman" w:cs="Times New Roman"/>
          <w:color w:val="000000" w:themeColor="text1"/>
          <w:lang w:val="lv-LV"/>
        </w:rPr>
        <w:footnoteReference w:id="3"/>
      </w:r>
      <w:r w:rsidRPr="007A55A2">
        <w:rPr>
          <w:rFonts w:ascii="Times New Roman" w:hAnsi="Times New Roman" w:cs="Times New Roman"/>
          <w:color w:val="000000" w:themeColor="text1"/>
          <w:lang w:val="lv-LV"/>
        </w:rPr>
        <w:t xml:space="preserve"> (turpmāk - MKN 277) noteica: </w:t>
      </w:r>
    </w:p>
    <w:p w14:paraId="7FC5AF07" w14:textId="77777777" w:rsidR="007F0B77" w:rsidRPr="007A55A2" w:rsidRDefault="007F0B77" w:rsidP="009031DF">
      <w:pPr>
        <w:ind w:left="851"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w:t>
      </w:r>
      <w:r w:rsidRPr="007A55A2">
        <w:rPr>
          <w:rFonts w:ascii="Times New Roman" w:hAnsi="Times New Roman" w:cs="Times New Roman"/>
          <w:i/>
          <w:iCs/>
          <w:color w:val="000000" w:themeColor="text1"/>
          <w:lang w:val="lv-LV"/>
        </w:rPr>
        <w:t>līdz 25 procentu apmēram no … tiešo attiecināmo izmaksu kopsummas, izņemot … tiešās attiecināmās izmaksas, kas radušās saistībā ar ārējo pakalpojumu izmaksām (tai skaitā darbu saskaņā ar uzņēmuma līgumiem).</w:t>
      </w:r>
      <w:r w:rsidRPr="007A55A2">
        <w:rPr>
          <w:rFonts w:ascii="Times New Roman" w:hAnsi="Times New Roman" w:cs="Times New Roman"/>
          <w:color w:val="000000" w:themeColor="text1"/>
          <w:lang w:val="lv-LV"/>
        </w:rPr>
        <w:t xml:space="preserve"> …”. (14.2. punkts).</w:t>
      </w:r>
    </w:p>
    <w:p w14:paraId="6C018D43" w14:textId="77777777" w:rsidR="0055562C" w:rsidRPr="007A55A2" w:rsidRDefault="009031DF" w:rsidP="00D131E7">
      <w:pPr>
        <w:ind w:right="-6"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MK noteikumu grozījumi MKN 277 vairs neparedzēja fiksētu likmi, bet noteica tās augšējo robežu, kas sakrita ar sākotnējās versijas fiksēto likmi, kā arī paredzēja, ka aprēķinot tās kā daļu no tiešajām izmaksām, no pēdējām ir izslēdzamas ārējo pakalpojumu izmaksas. MK noteikumu grozījumi MKN 277 arī paredzēja, ka netiešās izmaksas nosaka attiecīgā projektu pieteikumu konkursu nolikumā, atbilstoši attiecīgās nozares ministrijas veiktajam novērtējumam par programmas īstenošanas izmaksām.</w:t>
      </w:r>
      <w:r w:rsidR="00682D85" w:rsidRPr="007A55A2">
        <w:rPr>
          <w:rFonts w:ascii="Times New Roman" w:hAnsi="Times New Roman" w:cs="Times New Roman"/>
          <w:color w:val="000000" w:themeColor="text1"/>
          <w:lang w:val="lv-LV"/>
        </w:rPr>
        <w:t xml:space="preserve"> </w:t>
      </w:r>
    </w:p>
    <w:p w14:paraId="6683E148" w14:textId="14827650" w:rsidR="009031DF" w:rsidRPr="007A55A2" w:rsidRDefault="009031DF" w:rsidP="00D131E7">
      <w:pPr>
        <w:ind w:right="-6"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MK noteikumu 06.02.2024 (spēkā no 13.02.2024) grozījumi</w:t>
      </w:r>
      <w:r w:rsidRPr="007A55A2">
        <w:rPr>
          <w:rStyle w:val="FootnoteReference"/>
          <w:rFonts w:ascii="Times New Roman" w:hAnsi="Times New Roman" w:cs="Times New Roman"/>
          <w:color w:val="000000" w:themeColor="text1"/>
          <w:lang w:val="lv-LV"/>
        </w:rPr>
        <w:footnoteReference w:id="4"/>
      </w:r>
      <w:r w:rsidRPr="007A55A2">
        <w:rPr>
          <w:rFonts w:ascii="Times New Roman" w:hAnsi="Times New Roman" w:cs="Times New Roman"/>
          <w:color w:val="000000" w:themeColor="text1"/>
          <w:lang w:val="lv-LV"/>
        </w:rPr>
        <w:t xml:space="preserve"> nosaka</w:t>
      </w:r>
      <w:r w:rsidR="00184E83" w:rsidRPr="007A55A2">
        <w:rPr>
          <w:rFonts w:ascii="Times New Roman" w:hAnsi="Times New Roman" w:cs="Times New Roman"/>
          <w:color w:val="000000" w:themeColor="text1"/>
          <w:lang w:val="lv-LV"/>
        </w:rPr>
        <w:t xml:space="preserve"> </w:t>
      </w:r>
      <w:r w:rsidR="007234A0" w:rsidRPr="007A55A2">
        <w:rPr>
          <w:rFonts w:ascii="Times New Roman" w:hAnsi="Times New Roman" w:cs="Times New Roman"/>
          <w:color w:val="000000" w:themeColor="text1"/>
          <w:lang w:val="lv-LV"/>
        </w:rPr>
        <w:t xml:space="preserve">līdzīgu </w:t>
      </w:r>
      <w:r w:rsidRPr="007A55A2">
        <w:rPr>
          <w:rFonts w:ascii="Times New Roman" w:hAnsi="Times New Roman" w:cs="Times New Roman"/>
          <w:color w:val="000000" w:themeColor="text1"/>
          <w:lang w:val="lv-LV"/>
        </w:rPr>
        <w:t xml:space="preserve">netiešo izmaksu regulējumu </w:t>
      </w:r>
      <w:r w:rsidR="00094307" w:rsidRPr="007A55A2">
        <w:rPr>
          <w:rFonts w:ascii="Times New Roman" w:hAnsi="Times New Roman" w:cs="Times New Roman"/>
          <w:color w:val="000000" w:themeColor="text1"/>
          <w:lang w:val="lv-LV"/>
        </w:rPr>
        <w:t xml:space="preserve">arī </w:t>
      </w:r>
      <w:r w:rsidRPr="007A55A2">
        <w:rPr>
          <w:rFonts w:ascii="Times New Roman" w:hAnsi="Times New Roman" w:cs="Times New Roman"/>
          <w:color w:val="000000" w:themeColor="text1"/>
          <w:lang w:val="lv-LV"/>
        </w:rPr>
        <w:t xml:space="preserve">attiecībā uz </w:t>
      </w:r>
      <w:r w:rsidR="0056426D" w:rsidRPr="007A55A2">
        <w:rPr>
          <w:rFonts w:ascii="Times New Roman" w:hAnsi="Times New Roman" w:cs="Times New Roman"/>
          <w:color w:val="000000" w:themeColor="text1"/>
          <w:lang w:val="lv-LV"/>
        </w:rPr>
        <w:t xml:space="preserve">ilgtermiņa </w:t>
      </w:r>
      <w:r w:rsidRPr="007A55A2">
        <w:rPr>
          <w:rFonts w:ascii="Times New Roman" w:hAnsi="Times New Roman" w:cs="Times New Roman"/>
          <w:color w:val="000000" w:themeColor="text1"/>
          <w:lang w:val="lv-LV"/>
        </w:rPr>
        <w:t>VPP platformām un platformu projektiem (69</w:t>
      </w:r>
      <w:r w:rsidRPr="007A55A2">
        <w:rPr>
          <w:rFonts w:ascii="Times New Roman" w:hAnsi="Times New Roman" w:cs="Times New Roman"/>
          <w:color w:val="000000" w:themeColor="text1"/>
          <w:vertAlign w:val="superscript"/>
          <w:lang w:val="lv-LV"/>
        </w:rPr>
        <w:t>1</w:t>
      </w:r>
      <w:r w:rsidR="00184E83" w:rsidRPr="007A55A2">
        <w:rPr>
          <w:rFonts w:ascii="Times New Roman" w:hAnsi="Times New Roman" w:cs="Times New Roman"/>
          <w:color w:val="000000" w:themeColor="text1"/>
          <w:vertAlign w:val="superscript"/>
          <w:lang w:val="lv-LV"/>
        </w:rPr>
        <w:t>1</w:t>
      </w:r>
      <w:r w:rsidRPr="007A55A2">
        <w:rPr>
          <w:rFonts w:ascii="Times New Roman" w:hAnsi="Times New Roman" w:cs="Times New Roman"/>
          <w:color w:val="000000" w:themeColor="text1"/>
          <w:lang w:val="lv-LV"/>
        </w:rPr>
        <w:t>.</w:t>
      </w:r>
      <w:r w:rsidR="00184E83" w:rsidRPr="007A55A2" w:rsidDel="00184E83">
        <w:rPr>
          <w:rFonts w:ascii="Times New Roman" w:hAnsi="Times New Roman" w:cs="Times New Roman"/>
          <w:color w:val="000000" w:themeColor="text1"/>
          <w:lang w:val="lv-LV"/>
        </w:rPr>
        <w:t xml:space="preserve"> </w:t>
      </w:r>
      <w:r w:rsidRPr="007A55A2">
        <w:rPr>
          <w:rFonts w:ascii="Times New Roman" w:hAnsi="Times New Roman" w:cs="Times New Roman"/>
          <w:color w:val="000000" w:themeColor="text1"/>
          <w:lang w:val="lv-LV"/>
        </w:rPr>
        <w:t>2. punkts).</w:t>
      </w:r>
      <w:r w:rsidR="00184E83" w:rsidRPr="007A55A2">
        <w:rPr>
          <w:rFonts w:ascii="Times New Roman" w:hAnsi="Times New Roman" w:cs="Times New Roman"/>
          <w:color w:val="000000" w:themeColor="text1"/>
          <w:lang w:val="lv-LV"/>
        </w:rPr>
        <w:t xml:space="preserve"> </w:t>
      </w:r>
      <w:r w:rsidR="004E31CD" w:rsidRPr="007A55A2">
        <w:rPr>
          <w:rFonts w:ascii="Times New Roman" w:hAnsi="Times New Roman" w:cs="Times New Roman"/>
          <w:color w:val="000000" w:themeColor="text1"/>
          <w:lang w:val="lv-LV"/>
        </w:rPr>
        <w:t>Deta</w:t>
      </w:r>
      <w:r w:rsidR="00CE639C" w:rsidRPr="007A55A2">
        <w:rPr>
          <w:rFonts w:ascii="Times New Roman" w:hAnsi="Times New Roman" w:cs="Times New Roman"/>
          <w:color w:val="000000" w:themeColor="text1"/>
          <w:lang w:val="lv-LV"/>
        </w:rPr>
        <w:t>lizēti tas ir apskatīts nodaļā “</w:t>
      </w:r>
      <w:r w:rsidR="00831F99" w:rsidRPr="007A55A2">
        <w:rPr>
          <w:rFonts w:ascii="Times New Roman" w:hAnsi="Times New Roman" w:cs="Times New Roman"/>
          <w:color w:val="000000" w:themeColor="text1"/>
          <w:lang w:val="lv-LV"/>
        </w:rPr>
        <w:t>Inovāciju programmas un projekti</w:t>
      </w:r>
      <w:r w:rsidR="00E03908" w:rsidRPr="007A55A2">
        <w:rPr>
          <w:rFonts w:ascii="Times New Roman" w:hAnsi="Times New Roman" w:cs="Times New Roman"/>
          <w:color w:val="000000" w:themeColor="text1"/>
          <w:lang w:val="lv-LV"/>
        </w:rPr>
        <w:t>”.</w:t>
      </w:r>
      <w:r w:rsidRPr="007A55A2">
        <w:rPr>
          <w:rFonts w:ascii="Times New Roman" w:hAnsi="Times New Roman" w:cs="Times New Roman"/>
          <w:color w:val="000000" w:themeColor="text1"/>
          <w:lang w:val="lv-LV"/>
        </w:rPr>
        <w:t xml:space="preserve"> </w:t>
      </w:r>
    </w:p>
    <w:p w14:paraId="30336DFA" w14:textId="2692BBC3" w:rsidR="00877C35" w:rsidRPr="007A55A2" w:rsidRDefault="00043EC2" w:rsidP="00EA211D">
      <w:pPr>
        <w:keepNext/>
        <w:ind w:right="-6" w:firstLine="56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Izs</w:t>
      </w:r>
      <w:r w:rsidR="00481849" w:rsidRPr="007A55A2">
        <w:rPr>
          <w:rFonts w:ascii="Times New Roman" w:hAnsi="Times New Roman" w:cs="Times New Roman"/>
          <w:color w:val="000000" w:themeColor="text1"/>
          <w:lang w:val="lv-LV"/>
        </w:rPr>
        <w:t xml:space="preserve">katot </w:t>
      </w:r>
      <w:r w:rsidRPr="007A55A2">
        <w:rPr>
          <w:rFonts w:ascii="Times New Roman" w:hAnsi="Times New Roman" w:cs="Times New Roman"/>
          <w:color w:val="000000" w:themeColor="text1"/>
          <w:lang w:val="lv-LV"/>
        </w:rPr>
        <w:t xml:space="preserve">visus atbilstošo nozaru ministriju izsludinātos </w:t>
      </w:r>
      <w:r w:rsidR="00481849" w:rsidRPr="007A55A2">
        <w:rPr>
          <w:rFonts w:ascii="Times New Roman" w:hAnsi="Times New Roman" w:cs="Times New Roman"/>
          <w:color w:val="000000" w:themeColor="text1"/>
          <w:lang w:val="lv-LV"/>
        </w:rPr>
        <w:t>VPP nolikumus</w:t>
      </w:r>
      <w:r w:rsidR="00E130A0" w:rsidRPr="007A55A2">
        <w:rPr>
          <w:rFonts w:ascii="Times New Roman" w:hAnsi="Times New Roman" w:cs="Times New Roman"/>
          <w:color w:val="000000" w:themeColor="text1"/>
          <w:lang w:val="lv-LV"/>
        </w:rPr>
        <w:t xml:space="preserve"> (pieejami padomes portālā</w:t>
      </w:r>
      <w:r w:rsidR="00E130A0" w:rsidRPr="007A55A2">
        <w:rPr>
          <w:rStyle w:val="FootnoteReference"/>
          <w:rFonts w:ascii="Times New Roman" w:hAnsi="Times New Roman" w:cs="Times New Roman"/>
          <w:color w:val="000000" w:themeColor="text1"/>
          <w:lang w:val="lv-LV"/>
        </w:rPr>
        <w:footnoteReference w:id="5"/>
      </w:r>
      <w:r w:rsidR="00E130A0" w:rsidRPr="007A55A2">
        <w:rPr>
          <w:rFonts w:ascii="Times New Roman" w:hAnsi="Times New Roman" w:cs="Times New Roman"/>
          <w:color w:val="000000" w:themeColor="text1"/>
          <w:lang w:val="lv-LV"/>
        </w:rPr>
        <w:t>)</w:t>
      </w:r>
      <w:r w:rsidR="00154E80" w:rsidRPr="007A55A2">
        <w:rPr>
          <w:rFonts w:ascii="Times New Roman" w:hAnsi="Times New Roman" w:cs="Times New Roman"/>
          <w:color w:val="000000" w:themeColor="text1"/>
          <w:lang w:val="lv-LV"/>
        </w:rPr>
        <w:t>, kuri pieņemti</w:t>
      </w:r>
      <w:r w:rsidR="00481849" w:rsidRPr="007A55A2">
        <w:rPr>
          <w:rFonts w:ascii="Times New Roman" w:hAnsi="Times New Roman" w:cs="Times New Roman"/>
          <w:color w:val="000000" w:themeColor="text1"/>
          <w:lang w:val="lv-LV"/>
        </w:rPr>
        <w:t xml:space="preserve"> </w:t>
      </w:r>
      <w:r w:rsidR="00A75841" w:rsidRPr="007A55A2">
        <w:rPr>
          <w:rFonts w:ascii="Times New Roman" w:hAnsi="Times New Roman" w:cs="Times New Roman"/>
          <w:color w:val="000000" w:themeColor="text1"/>
          <w:lang w:val="lv-LV"/>
        </w:rPr>
        <w:t>pēc 06.06.2023 grozījumu stāšanās spēkā</w:t>
      </w:r>
      <w:r w:rsidR="007D7B41" w:rsidRPr="007A55A2">
        <w:rPr>
          <w:rFonts w:ascii="Times New Roman" w:hAnsi="Times New Roman" w:cs="Times New Roman"/>
          <w:color w:val="000000" w:themeColor="text1"/>
          <w:lang w:val="lv-LV"/>
        </w:rPr>
        <w:t xml:space="preserve"> </w:t>
      </w:r>
      <w:r w:rsidR="007F4144" w:rsidRPr="007A55A2">
        <w:rPr>
          <w:rFonts w:ascii="Times New Roman" w:hAnsi="Times New Roman" w:cs="Times New Roman"/>
          <w:color w:val="000000" w:themeColor="text1"/>
          <w:lang w:val="lv-LV"/>
        </w:rPr>
        <w:t xml:space="preserve">var </w:t>
      </w:r>
      <w:r w:rsidR="00877C35" w:rsidRPr="007A55A2">
        <w:rPr>
          <w:rFonts w:ascii="Times New Roman" w:hAnsi="Times New Roman" w:cs="Times New Roman"/>
          <w:color w:val="000000" w:themeColor="text1"/>
          <w:lang w:val="lv-LV"/>
        </w:rPr>
        <w:t>konstatēt, ka visas VPP</w:t>
      </w:r>
      <w:r w:rsidR="00580B7D" w:rsidRPr="007A55A2">
        <w:rPr>
          <w:rFonts w:ascii="Times New Roman" w:hAnsi="Times New Roman" w:cs="Times New Roman"/>
          <w:color w:val="000000" w:themeColor="text1"/>
          <w:lang w:val="lv-LV"/>
        </w:rPr>
        <w:t>, izņemot VPP “Latvijas kultūra – resurss valsts attīstībai”</w:t>
      </w:r>
      <w:r w:rsidR="00145DC2" w:rsidRPr="007A55A2">
        <w:rPr>
          <w:rFonts w:ascii="Times New Roman" w:hAnsi="Times New Roman" w:cs="Times New Roman"/>
          <w:color w:val="000000" w:themeColor="text1"/>
          <w:lang w:val="lv-LV"/>
        </w:rPr>
        <w:t xml:space="preserve">, netiešās izmaksas </w:t>
      </w:r>
      <w:r w:rsidR="00A26327" w:rsidRPr="007A55A2">
        <w:rPr>
          <w:rFonts w:ascii="Times New Roman" w:hAnsi="Times New Roman" w:cs="Times New Roman"/>
          <w:color w:val="000000" w:themeColor="text1"/>
          <w:lang w:val="lv-LV"/>
        </w:rPr>
        <w:t>nosaka kā:</w:t>
      </w:r>
    </w:p>
    <w:p w14:paraId="2B327F12" w14:textId="01DE1B17" w:rsidR="00427590" w:rsidRPr="007A55A2" w:rsidRDefault="00427590" w:rsidP="009031DF">
      <w:pPr>
        <w:ind w:left="851"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w:t>
      </w:r>
      <w:r w:rsidRPr="007A55A2">
        <w:rPr>
          <w:rFonts w:ascii="Times New Roman" w:hAnsi="Times New Roman" w:cs="Times New Roman"/>
          <w:i/>
          <w:iCs/>
          <w:color w:val="000000" w:themeColor="text1"/>
          <w:lang w:val="lv-LV"/>
        </w:rPr>
        <w:t xml:space="preserve">vienotu likmi līdz 15 (piecpadsmit) procentu apmēram no </w:t>
      </w:r>
      <w:r w:rsidR="00F51A87" w:rsidRPr="007A55A2">
        <w:rPr>
          <w:rFonts w:ascii="Times New Roman" w:hAnsi="Times New Roman" w:cs="Times New Roman"/>
          <w:i/>
          <w:iCs/>
          <w:color w:val="000000" w:themeColor="text1"/>
          <w:lang w:val="lv-LV"/>
        </w:rPr>
        <w:t>…</w:t>
      </w:r>
      <w:r w:rsidRPr="007A55A2">
        <w:rPr>
          <w:rFonts w:ascii="Times New Roman" w:hAnsi="Times New Roman" w:cs="Times New Roman"/>
          <w:i/>
          <w:iCs/>
          <w:color w:val="000000" w:themeColor="text1"/>
          <w:lang w:val="lv-LV"/>
        </w:rPr>
        <w:t xml:space="preserve"> tiešo attiecināmo izmaksu kopsummas, izņemot </w:t>
      </w:r>
      <w:r w:rsidR="00EA69EB" w:rsidRPr="007A55A2">
        <w:rPr>
          <w:rFonts w:ascii="Times New Roman" w:hAnsi="Times New Roman" w:cs="Times New Roman"/>
          <w:i/>
          <w:iCs/>
          <w:color w:val="000000" w:themeColor="text1"/>
          <w:lang w:val="lv-LV"/>
        </w:rPr>
        <w:t>…</w:t>
      </w:r>
      <w:r w:rsidRPr="007A55A2">
        <w:rPr>
          <w:rFonts w:ascii="Times New Roman" w:hAnsi="Times New Roman" w:cs="Times New Roman"/>
          <w:i/>
          <w:iCs/>
          <w:color w:val="000000" w:themeColor="text1"/>
          <w:lang w:val="lv-LV"/>
        </w:rPr>
        <w:t xml:space="preserve"> tiešās attiecināmās izmaksas, kas radušās saistībā ar ārējo pakalpojumu izmaksām (tai skaitā darbu saskaņā ar uzņēmuma līgumiem)</w:t>
      </w:r>
      <w:r w:rsidRPr="007A55A2">
        <w:rPr>
          <w:rFonts w:ascii="Times New Roman" w:hAnsi="Times New Roman" w:cs="Times New Roman"/>
          <w:color w:val="000000" w:themeColor="text1"/>
          <w:lang w:val="lv-LV"/>
        </w:rPr>
        <w:t>.” (definīcija no VPP “Izglītība” nolikuma</w:t>
      </w:r>
      <w:r w:rsidR="00A26327" w:rsidRPr="007A55A2">
        <w:rPr>
          <w:rFonts w:ascii="Times New Roman" w:hAnsi="Times New Roman" w:cs="Times New Roman"/>
          <w:color w:val="000000" w:themeColor="text1"/>
          <w:lang w:val="lv-LV"/>
        </w:rPr>
        <w:t>, 7. punkts</w:t>
      </w:r>
      <w:r w:rsidRPr="007A55A2">
        <w:rPr>
          <w:rFonts w:ascii="Times New Roman" w:hAnsi="Times New Roman" w:cs="Times New Roman"/>
          <w:color w:val="000000" w:themeColor="text1"/>
          <w:lang w:val="lv-LV"/>
        </w:rPr>
        <w:t xml:space="preserve">). </w:t>
      </w:r>
    </w:p>
    <w:p w14:paraId="373A035C" w14:textId="044C60A3" w:rsidR="007F4144" w:rsidRPr="007A55A2" w:rsidRDefault="00427590" w:rsidP="009031DF">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Savukārt VPP “Latvijas kultūra – resurss valsts attīstībai”</w:t>
      </w:r>
      <w:r w:rsidR="00B03D45" w:rsidRPr="007A55A2">
        <w:rPr>
          <w:rFonts w:ascii="Times New Roman" w:hAnsi="Times New Roman" w:cs="Times New Roman"/>
          <w:color w:val="000000" w:themeColor="text1"/>
          <w:lang w:val="lv-LV"/>
        </w:rPr>
        <w:t xml:space="preserve"> konkursa nolikums </w:t>
      </w:r>
      <w:r w:rsidR="00055A53" w:rsidRPr="007A55A2">
        <w:rPr>
          <w:rFonts w:ascii="Times New Roman" w:hAnsi="Times New Roman" w:cs="Times New Roman"/>
          <w:color w:val="000000" w:themeColor="text1"/>
          <w:lang w:val="lv-LV"/>
        </w:rPr>
        <w:t>s</w:t>
      </w:r>
      <w:r w:rsidR="00B03D45" w:rsidRPr="007A55A2">
        <w:rPr>
          <w:rFonts w:ascii="Times New Roman" w:hAnsi="Times New Roman" w:cs="Times New Roman"/>
          <w:color w:val="000000" w:themeColor="text1"/>
          <w:lang w:val="lv-LV"/>
        </w:rPr>
        <w:t>a</w:t>
      </w:r>
      <w:r w:rsidR="00055A53" w:rsidRPr="007A55A2">
        <w:rPr>
          <w:rFonts w:ascii="Times New Roman" w:hAnsi="Times New Roman" w:cs="Times New Roman"/>
          <w:color w:val="000000" w:themeColor="text1"/>
          <w:lang w:val="lv-LV"/>
        </w:rPr>
        <w:t xml:space="preserve">istīja fiksētu </w:t>
      </w:r>
      <w:r w:rsidR="00524FB8" w:rsidRPr="007A55A2">
        <w:rPr>
          <w:rFonts w:ascii="Times New Roman" w:hAnsi="Times New Roman" w:cs="Times New Roman"/>
          <w:color w:val="000000" w:themeColor="text1"/>
          <w:lang w:val="lv-LV"/>
        </w:rPr>
        <w:t xml:space="preserve">netiešo izmaksu </w:t>
      </w:r>
      <w:r w:rsidR="00055A53" w:rsidRPr="007A55A2">
        <w:rPr>
          <w:rFonts w:ascii="Times New Roman" w:hAnsi="Times New Roman" w:cs="Times New Roman"/>
          <w:color w:val="000000" w:themeColor="text1"/>
          <w:lang w:val="lv-LV"/>
        </w:rPr>
        <w:t xml:space="preserve">likmi ar projektā paredzēto </w:t>
      </w:r>
      <w:r w:rsidR="00B03D45" w:rsidRPr="007A55A2">
        <w:rPr>
          <w:rFonts w:ascii="Times New Roman" w:hAnsi="Times New Roman" w:cs="Times New Roman"/>
          <w:color w:val="000000" w:themeColor="text1"/>
          <w:lang w:val="lv-LV"/>
        </w:rPr>
        <w:t>a</w:t>
      </w:r>
      <w:r w:rsidR="00055A53" w:rsidRPr="007A55A2">
        <w:rPr>
          <w:rFonts w:ascii="Times New Roman" w:hAnsi="Times New Roman" w:cs="Times New Roman"/>
          <w:color w:val="000000" w:themeColor="text1"/>
          <w:lang w:val="lv-LV"/>
        </w:rPr>
        <w:t>talgojuma apmēru:</w:t>
      </w:r>
    </w:p>
    <w:p w14:paraId="50B61AB3" w14:textId="0CC00F8D" w:rsidR="00055A53" w:rsidRPr="007A55A2" w:rsidRDefault="00055A53" w:rsidP="009031DF">
      <w:pPr>
        <w:ind w:left="851"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w:t>
      </w:r>
      <w:r w:rsidR="00DE3795" w:rsidRPr="007A55A2">
        <w:rPr>
          <w:rFonts w:ascii="Times New Roman" w:hAnsi="Times New Roman" w:cs="Times New Roman"/>
          <w:color w:val="000000" w:themeColor="text1"/>
          <w:lang w:val="lv-LV"/>
        </w:rPr>
        <w:t>…</w:t>
      </w:r>
      <w:r w:rsidRPr="007A55A2">
        <w:rPr>
          <w:rFonts w:ascii="Times New Roman" w:hAnsi="Times New Roman" w:cs="Times New Roman"/>
          <w:color w:val="000000" w:themeColor="text1"/>
          <w:lang w:val="lv-LV"/>
        </w:rPr>
        <w:t xml:space="preserve"> </w:t>
      </w:r>
      <w:r w:rsidRPr="007A55A2">
        <w:rPr>
          <w:rFonts w:ascii="Times New Roman" w:hAnsi="Times New Roman" w:cs="Times New Roman"/>
          <w:i/>
          <w:iCs/>
          <w:color w:val="000000" w:themeColor="text1"/>
          <w:lang w:val="lv-LV"/>
        </w:rPr>
        <w:t xml:space="preserve">vienoto likmi 15 (piecpadsmit) procentu apmērā no tiešajām attiecināmajām </w:t>
      </w:r>
      <w:r w:rsidR="00DE3795" w:rsidRPr="007A55A2">
        <w:rPr>
          <w:rFonts w:ascii="Times New Roman" w:hAnsi="Times New Roman" w:cs="Times New Roman"/>
          <w:i/>
          <w:iCs/>
          <w:color w:val="000000" w:themeColor="text1"/>
          <w:lang w:val="lv-LV"/>
        </w:rPr>
        <w:t>…</w:t>
      </w:r>
      <w:r w:rsidRPr="007A55A2">
        <w:rPr>
          <w:rFonts w:ascii="Times New Roman" w:hAnsi="Times New Roman" w:cs="Times New Roman"/>
          <w:i/>
          <w:iCs/>
          <w:color w:val="000000" w:themeColor="text1"/>
          <w:lang w:val="lv-LV"/>
        </w:rPr>
        <w:t xml:space="preserve"> zinātniskās grupas locekļu atlīdzības izmaksām</w:t>
      </w:r>
      <w:r w:rsidRPr="007A55A2">
        <w:rPr>
          <w:rFonts w:ascii="Times New Roman" w:hAnsi="Times New Roman" w:cs="Times New Roman"/>
          <w:color w:val="000000" w:themeColor="text1"/>
          <w:lang w:val="lv-LV"/>
        </w:rPr>
        <w:t>.  ...”.</w:t>
      </w:r>
      <w:r w:rsidR="00F11E8F" w:rsidRPr="007A55A2">
        <w:rPr>
          <w:rFonts w:ascii="Times New Roman" w:hAnsi="Times New Roman" w:cs="Times New Roman"/>
          <w:color w:val="000000" w:themeColor="text1"/>
          <w:lang w:val="lv-LV"/>
        </w:rPr>
        <w:t xml:space="preserve"> (27. punkts).</w:t>
      </w:r>
    </w:p>
    <w:p w14:paraId="1123E9A5" w14:textId="5984CBB6" w:rsidR="00055A53" w:rsidRPr="007A55A2" w:rsidRDefault="00F20474" w:rsidP="009031DF">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lastRenderedPageBreak/>
        <w:t>Netiešo izmaksu</w:t>
      </w:r>
      <w:r w:rsidR="00D0344C" w:rsidRPr="007A55A2">
        <w:rPr>
          <w:rFonts w:ascii="Times New Roman" w:hAnsi="Times New Roman" w:cs="Times New Roman"/>
          <w:color w:val="000000" w:themeColor="text1"/>
          <w:lang w:val="lv-LV"/>
        </w:rPr>
        <w:t xml:space="preserve"> a</w:t>
      </w:r>
      <w:r w:rsidRPr="007A55A2">
        <w:rPr>
          <w:rFonts w:ascii="Times New Roman" w:hAnsi="Times New Roman" w:cs="Times New Roman"/>
          <w:color w:val="000000" w:themeColor="text1"/>
          <w:lang w:val="lv-LV"/>
        </w:rPr>
        <w:t>prēķin</w:t>
      </w:r>
      <w:r w:rsidR="00524FB8" w:rsidRPr="007A55A2">
        <w:rPr>
          <w:rFonts w:ascii="Times New Roman" w:hAnsi="Times New Roman" w:cs="Times New Roman"/>
          <w:color w:val="000000" w:themeColor="text1"/>
          <w:lang w:val="lv-LV"/>
        </w:rPr>
        <w:t>āšan</w:t>
      </w:r>
      <w:r w:rsidRPr="007A55A2">
        <w:rPr>
          <w:rFonts w:ascii="Times New Roman" w:hAnsi="Times New Roman" w:cs="Times New Roman"/>
          <w:color w:val="000000" w:themeColor="text1"/>
          <w:lang w:val="lv-LV"/>
        </w:rPr>
        <w:t>a</w:t>
      </w:r>
      <w:r w:rsidR="00524FB8" w:rsidRPr="007A55A2">
        <w:rPr>
          <w:rFonts w:ascii="Times New Roman" w:hAnsi="Times New Roman" w:cs="Times New Roman"/>
          <w:color w:val="000000" w:themeColor="text1"/>
          <w:lang w:val="lv-LV"/>
        </w:rPr>
        <w:t>s</w:t>
      </w:r>
      <w:r w:rsidRPr="007A55A2">
        <w:rPr>
          <w:rFonts w:ascii="Times New Roman" w:hAnsi="Times New Roman" w:cs="Times New Roman"/>
          <w:color w:val="000000" w:themeColor="text1"/>
          <w:lang w:val="lv-LV"/>
        </w:rPr>
        <w:t xml:space="preserve"> kārtība VPP konkursos atšķiras </w:t>
      </w:r>
      <w:r w:rsidR="00D0344C" w:rsidRPr="007A55A2">
        <w:rPr>
          <w:rFonts w:ascii="Times New Roman" w:hAnsi="Times New Roman" w:cs="Times New Roman"/>
          <w:color w:val="000000" w:themeColor="text1"/>
          <w:lang w:val="lv-LV"/>
        </w:rPr>
        <w:t xml:space="preserve">pēc tā vai tās tiek aprēķinātas </w:t>
      </w:r>
      <w:r w:rsidR="00A84302" w:rsidRPr="007A55A2">
        <w:rPr>
          <w:rFonts w:ascii="Times New Roman" w:hAnsi="Times New Roman" w:cs="Times New Roman"/>
          <w:color w:val="000000" w:themeColor="text1"/>
          <w:lang w:val="lv-LV"/>
        </w:rPr>
        <w:t>no zinātniskās grupas atalgojuma izmaksām</w:t>
      </w:r>
      <w:r w:rsidR="00CA3547" w:rsidRPr="007A55A2">
        <w:rPr>
          <w:rFonts w:ascii="Times New Roman" w:hAnsi="Times New Roman" w:cs="Times New Roman"/>
          <w:color w:val="000000" w:themeColor="text1"/>
          <w:lang w:val="lv-LV"/>
        </w:rPr>
        <w:t xml:space="preserve"> vai </w:t>
      </w:r>
      <w:r w:rsidR="00A84302" w:rsidRPr="007A55A2">
        <w:rPr>
          <w:rFonts w:ascii="Times New Roman" w:hAnsi="Times New Roman" w:cs="Times New Roman"/>
          <w:color w:val="000000" w:themeColor="text1"/>
          <w:lang w:val="lv-LV"/>
        </w:rPr>
        <w:t>tiešajām izmaksām</w:t>
      </w:r>
      <w:r w:rsidR="005755F7" w:rsidRPr="007A55A2">
        <w:rPr>
          <w:rFonts w:ascii="Times New Roman" w:hAnsi="Times New Roman" w:cs="Times New Roman"/>
          <w:color w:val="000000" w:themeColor="text1"/>
          <w:lang w:val="lv-LV"/>
        </w:rPr>
        <w:t>, un</w:t>
      </w:r>
      <w:r w:rsidR="00CA3547" w:rsidRPr="007A55A2">
        <w:rPr>
          <w:rFonts w:ascii="Times New Roman" w:hAnsi="Times New Roman" w:cs="Times New Roman"/>
          <w:color w:val="000000" w:themeColor="text1"/>
          <w:lang w:val="lv-LV"/>
        </w:rPr>
        <w:t xml:space="preserve"> pēdējā gadījumā vai </w:t>
      </w:r>
      <w:r w:rsidR="0045541B" w:rsidRPr="007A55A2">
        <w:rPr>
          <w:rFonts w:ascii="Times New Roman" w:hAnsi="Times New Roman" w:cs="Times New Roman"/>
          <w:color w:val="000000" w:themeColor="text1"/>
          <w:lang w:val="lv-LV"/>
        </w:rPr>
        <w:t>tiešajā</w:t>
      </w:r>
      <w:r w:rsidR="007F507F" w:rsidRPr="007A55A2">
        <w:rPr>
          <w:rFonts w:ascii="Times New Roman" w:hAnsi="Times New Roman" w:cs="Times New Roman"/>
          <w:color w:val="000000" w:themeColor="text1"/>
          <w:lang w:val="lv-LV"/>
        </w:rPr>
        <w:t>s</w:t>
      </w:r>
      <w:r w:rsidR="0045541B" w:rsidRPr="007A55A2">
        <w:rPr>
          <w:rFonts w:ascii="Times New Roman" w:hAnsi="Times New Roman" w:cs="Times New Roman"/>
          <w:color w:val="000000" w:themeColor="text1"/>
          <w:lang w:val="lv-LV"/>
        </w:rPr>
        <w:t xml:space="preserve"> izmaksā</w:t>
      </w:r>
      <w:r w:rsidR="007F507F" w:rsidRPr="007A55A2">
        <w:rPr>
          <w:rFonts w:ascii="Times New Roman" w:hAnsi="Times New Roman" w:cs="Times New Roman"/>
          <w:color w:val="000000" w:themeColor="text1"/>
          <w:lang w:val="lv-LV"/>
        </w:rPr>
        <w:t xml:space="preserve">s tiek vai netiek iekļautas arī </w:t>
      </w:r>
      <w:r w:rsidR="00FB7309" w:rsidRPr="007A55A2">
        <w:rPr>
          <w:rFonts w:ascii="Times New Roman" w:hAnsi="Times New Roman" w:cs="Times New Roman"/>
          <w:color w:val="000000" w:themeColor="text1"/>
          <w:lang w:val="lv-LV"/>
        </w:rPr>
        <w:t xml:space="preserve">ārējo pakalpojumu izmaksas. </w:t>
      </w:r>
      <w:r w:rsidR="00130FD9" w:rsidRPr="007A55A2">
        <w:rPr>
          <w:rFonts w:ascii="Times New Roman" w:hAnsi="Times New Roman" w:cs="Times New Roman"/>
          <w:color w:val="000000" w:themeColor="text1"/>
          <w:lang w:val="lv-LV"/>
        </w:rPr>
        <w:t>Tā kā sadalījums starp tiešo izmaksu veidiem pat viena veidu programmu dažādos projektos ir atšķirīgs, tad</w:t>
      </w:r>
      <w:r w:rsidR="00524FB8" w:rsidRPr="007A55A2">
        <w:rPr>
          <w:rFonts w:ascii="Times New Roman" w:hAnsi="Times New Roman" w:cs="Times New Roman"/>
          <w:color w:val="000000" w:themeColor="text1"/>
          <w:lang w:val="lv-LV"/>
        </w:rPr>
        <w:t>,</w:t>
      </w:r>
      <w:r w:rsidR="00130FD9" w:rsidRPr="007A55A2">
        <w:rPr>
          <w:rFonts w:ascii="Times New Roman" w:hAnsi="Times New Roman" w:cs="Times New Roman"/>
          <w:color w:val="000000" w:themeColor="text1"/>
          <w:lang w:val="lv-LV"/>
        </w:rPr>
        <w:t xml:space="preserve"> skatot netiešās izmaksas pret dažādiem tiešo izmaksu veidiem</w:t>
      </w:r>
      <w:r w:rsidR="00524FB8" w:rsidRPr="007A55A2">
        <w:rPr>
          <w:rFonts w:ascii="Times New Roman" w:hAnsi="Times New Roman" w:cs="Times New Roman"/>
          <w:color w:val="000000" w:themeColor="text1"/>
          <w:lang w:val="lv-LV"/>
        </w:rPr>
        <w:t>,</w:t>
      </w:r>
      <w:r w:rsidR="00130FD9" w:rsidRPr="007A55A2">
        <w:rPr>
          <w:rFonts w:ascii="Times New Roman" w:hAnsi="Times New Roman" w:cs="Times New Roman"/>
          <w:color w:val="000000" w:themeColor="text1"/>
          <w:lang w:val="lv-LV"/>
        </w:rPr>
        <w:t xml:space="preserve"> tās var variēties. Papildus atšķirību ienes iespēja projektu īstenotājiem neparedzēt maksimāli pieļaujamo netiešo izmaksu likmi, bet aprobežoties ar zemāku likmi, vairāk līdzekļu novirzot tiešajām – tieši ar pētniecību saistītajām izmaksām.</w:t>
      </w:r>
      <w:r w:rsidR="00ED5AC0" w:rsidRPr="007A55A2">
        <w:rPr>
          <w:rFonts w:ascii="Times New Roman" w:hAnsi="Times New Roman" w:cs="Times New Roman"/>
          <w:color w:val="000000" w:themeColor="text1"/>
          <w:lang w:val="lv-LV"/>
        </w:rPr>
        <w:t xml:space="preserve"> </w:t>
      </w:r>
      <w:r w:rsidR="00055A53" w:rsidRPr="007A55A2">
        <w:rPr>
          <w:rFonts w:ascii="Times New Roman" w:hAnsi="Times New Roman" w:cs="Times New Roman"/>
          <w:color w:val="000000" w:themeColor="text1"/>
          <w:lang w:val="lv-LV"/>
        </w:rPr>
        <w:t>Netiešo izmaksu daļa</w:t>
      </w:r>
      <w:r w:rsidR="004E1619" w:rsidRPr="007A55A2">
        <w:rPr>
          <w:rFonts w:ascii="Times New Roman" w:hAnsi="Times New Roman" w:cs="Times New Roman"/>
          <w:color w:val="000000" w:themeColor="text1"/>
          <w:lang w:val="lv-LV"/>
        </w:rPr>
        <w:t xml:space="preserve"> pret </w:t>
      </w:r>
      <w:r w:rsidR="00DC1CC1" w:rsidRPr="007A55A2">
        <w:rPr>
          <w:rFonts w:ascii="Times New Roman" w:hAnsi="Times New Roman" w:cs="Times New Roman"/>
          <w:color w:val="000000" w:themeColor="text1"/>
          <w:lang w:val="lv-LV"/>
        </w:rPr>
        <w:t xml:space="preserve">šiem trīs </w:t>
      </w:r>
      <w:r w:rsidR="00130FD9" w:rsidRPr="007A55A2">
        <w:rPr>
          <w:rFonts w:ascii="Times New Roman" w:hAnsi="Times New Roman" w:cs="Times New Roman"/>
          <w:color w:val="000000" w:themeColor="text1"/>
          <w:lang w:val="lv-LV"/>
        </w:rPr>
        <w:t xml:space="preserve">tiešo </w:t>
      </w:r>
      <w:r w:rsidR="004E1619" w:rsidRPr="007A55A2">
        <w:rPr>
          <w:rFonts w:ascii="Times New Roman" w:hAnsi="Times New Roman" w:cs="Times New Roman"/>
          <w:color w:val="000000" w:themeColor="text1"/>
          <w:lang w:val="lv-LV"/>
        </w:rPr>
        <w:t>izmaksu veidiem</w:t>
      </w:r>
      <w:r w:rsidR="00F11DAF" w:rsidRPr="007A55A2">
        <w:rPr>
          <w:rFonts w:ascii="Times New Roman" w:hAnsi="Times New Roman" w:cs="Times New Roman"/>
          <w:color w:val="000000" w:themeColor="text1"/>
          <w:lang w:val="lv-LV"/>
        </w:rPr>
        <w:t xml:space="preserve">, </w:t>
      </w:r>
      <w:r w:rsidR="004E1619" w:rsidRPr="007A55A2">
        <w:rPr>
          <w:rFonts w:ascii="Times New Roman" w:hAnsi="Times New Roman" w:cs="Times New Roman"/>
          <w:color w:val="000000" w:themeColor="text1"/>
          <w:lang w:val="lv-LV"/>
        </w:rPr>
        <w:t>no kuriem aprēķina netiešās izmaksas</w:t>
      </w:r>
      <w:r w:rsidR="00130FD9" w:rsidRPr="007A55A2">
        <w:rPr>
          <w:rFonts w:ascii="Times New Roman" w:hAnsi="Times New Roman" w:cs="Times New Roman"/>
          <w:color w:val="000000" w:themeColor="text1"/>
          <w:lang w:val="lv-LV"/>
        </w:rPr>
        <w:t>, kā arī pret kopējo projekta budžetu</w:t>
      </w:r>
      <w:r w:rsidR="00F11DAF" w:rsidRPr="007A55A2">
        <w:rPr>
          <w:rFonts w:ascii="Times New Roman" w:hAnsi="Times New Roman" w:cs="Times New Roman"/>
          <w:color w:val="000000" w:themeColor="text1"/>
          <w:lang w:val="lv-LV"/>
        </w:rPr>
        <w:t xml:space="preserve"> </w:t>
      </w:r>
      <w:r w:rsidR="00AA4E8D" w:rsidRPr="007A55A2">
        <w:rPr>
          <w:rFonts w:ascii="Times New Roman" w:hAnsi="Times New Roman" w:cs="Times New Roman"/>
          <w:color w:val="000000" w:themeColor="text1"/>
          <w:lang w:val="lv-LV"/>
        </w:rPr>
        <w:t xml:space="preserve">padomes administrētajiem VPP un FLPP projektiem kopš 2018. gada </w:t>
      </w:r>
      <w:r w:rsidR="00130FD9" w:rsidRPr="007A55A2">
        <w:rPr>
          <w:rFonts w:ascii="Times New Roman" w:hAnsi="Times New Roman" w:cs="Times New Roman"/>
          <w:color w:val="000000" w:themeColor="text1"/>
          <w:lang w:val="lv-LV"/>
        </w:rPr>
        <w:t xml:space="preserve">apkopota 2. tabulā </w:t>
      </w:r>
      <w:r w:rsidR="00F11DAF" w:rsidRPr="007A55A2">
        <w:rPr>
          <w:rFonts w:ascii="Times New Roman" w:hAnsi="Times New Roman" w:cs="Times New Roman"/>
          <w:color w:val="000000" w:themeColor="text1"/>
          <w:lang w:val="lv-LV"/>
        </w:rPr>
        <w:t>(</w:t>
      </w:r>
      <w:r w:rsidR="00DC1CC1" w:rsidRPr="007A55A2">
        <w:rPr>
          <w:rFonts w:ascii="Times New Roman" w:hAnsi="Times New Roman" w:cs="Times New Roman"/>
          <w:color w:val="000000" w:themeColor="text1"/>
          <w:lang w:val="lv-LV"/>
        </w:rPr>
        <w:t xml:space="preserve">VPP gadījumā </w:t>
      </w:r>
      <w:r w:rsidR="00FA4E82" w:rsidRPr="007A55A2">
        <w:rPr>
          <w:rFonts w:ascii="Times New Roman" w:hAnsi="Times New Roman" w:cs="Times New Roman"/>
          <w:color w:val="000000" w:themeColor="text1"/>
          <w:lang w:val="lv-LV"/>
        </w:rPr>
        <w:t>ņemti vērā projekti</w:t>
      </w:r>
      <w:r w:rsidR="00055A53" w:rsidRPr="007A55A2">
        <w:rPr>
          <w:rFonts w:ascii="Times New Roman" w:hAnsi="Times New Roman" w:cs="Times New Roman"/>
          <w:color w:val="000000" w:themeColor="text1"/>
          <w:lang w:val="lv-LV"/>
        </w:rPr>
        <w:t>, kuri ir apstiprināti finansēšanai</w:t>
      </w:r>
      <w:r w:rsidR="0083748B" w:rsidRPr="007A55A2">
        <w:rPr>
          <w:rFonts w:ascii="Times New Roman" w:hAnsi="Times New Roman" w:cs="Times New Roman"/>
          <w:color w:val="000000" w:themeColor="text1"/>
          <w:lang w:val="lv-LV"/>
        </w:rPr>
        <w:t xml:space="preserve"> līdz 2023. gadam ieskaitot</w:t>
      </w:r>
      <w:r w:rsidR="00055A53" w:rsidRPr="007A55A2">
        <w:rPr>
          <w:rFonts w:ascii="Times New Roman" w:hAnsi="Times New Roman" w:cs="Times New Roman"/>
          <w:color w:val="000000" w:themeColor="text1"/>
          <w:lang w:val="lv-LV"/>
        </w:rPr>
        <w:t xml:space="preserve">, </w:t>
      </w:r>
      <w:r w:rsidR="00FA4E82" w:rsidRPr="007A55A2">
        <w:rPr>
          <w:rFonts w:ascii="Times New Roman" w:hAnsi="Times New Roman" w:cs="Times New Roman"/>
          <w:color w:val="000000" w:themeColor="text1"/>
          <w:lang w:val="lv-LV"/>
        </w:rPr>
        <w:t>skatīt</w:t>
      </w:r>
      <w:r w:rsidR="000E4321" w:rsidRPr="007A55A2">
        <w:rPr>
          <w:rFonts w:ascii="Times New Roman" w:hAnsi="Times New Roman" w:cs="Times New Roman"/>
          <w:color w:val="000000" w:themeColor="text1"/>
          <w:lang w:val="lv-LV"/>
        </w:rPr>
        <w:t xml:space="preserve">a </w:t>
      </w:r>
      <w:r w:rsidR="00130FD9" w:rsidRPr="007A55A2">
        <w:rPr>
          <w:rFonts w:ascii="Times New Roman" w:hAnsi="Times New Roman" w:cs="Times New Roman"/>
          <w:color w:val="000000" w:themeColor="text1"/>
          <w:lang w:val="lv-LV"/>
        </w:rPr>
        <w:t>plānotā</w:t>
      </w:r>
      <w:r w:rsidR="000E4321" w:rsidRPr="007A55A2">
        <w:rPr>
          <w:rFonts w:ascii="Times New Roman" w:hAnsi="Times New Roman" w:cs="Times New Roman"/>
          <w:color w:val="000000" w:themeColor="text1"/>
          <w:lang w:val="lv-LV"/>
        </w:rPr>
        <w:t xml:space="preserve"> netiešo izmaksu daļa VPP pieteikumos)</w:t>
      </w:r>
      <w:r w:rsidR="00DC1CC1" w:rsidRPr="007A55A2">
        <w:rPr>
          <w:rFonts w:ascii="Times New Roman" w:hAnsi="Times New Roman" w:cs="Times New Roman"/>
          <w:color w:val="000000" w:themeColor="text1"/>
          <w:lang w:val="lv-LV"/>
        </w:rPr>
        <w:t>.</w:t>
      </w:r>
      <w:r w:rsidR="00E060DE" w:rsidRPr="007A55A2">
        <w:rPr>
          <w:rFonts w:ascii="Times New Roman" w:hAnsi="Times New Roman" w:cs="Times New Roman"/>
          <w:color w:val="000000" w:themeColor="text1"/>
          <w:lang w:val="lv-LV"/>
        </w:rPr>
        <w:t xml:space="preserve"> Šāds salīdzinājums, ļauj novērtē</w:t>
      </w:r>
      <w:r w:rsidR="00524FB8" w:rsidRPr="007A55A2">
        <w:rPr>
          <w:rFonts w:ascii="Times New Roman" w:hAnsi="Times New Roman" w:cs="Times New Roman"/>
          <w:color w:val="000000" w:themeColor="text1"/>
          <w:lang w:val="lv-LV"/>
        </w:rPr>
        <w:t>t</w:t>
      </w:r>
      <w:r w:rsidR="00E060DE" w:rsidRPr="007A55A2">
        <w:rPr>
          <w:rFonts w:ascii="Times New Roman" w:hAnsi="Times New Roman" w:cs="Times New Roman"/>
          <w:color w:val="000000" w:themeColor="text1"/>
          <w:lang w:val="lv-LV"/>
        </w:rPr>
        <w:t>, vai nosakot netiešās izmaksas pret kādu vienu tiešo izmaksu veidu, praksē neveidojas būtiskas atšķirības un ar to saistītie risk</w:t>
      </w:r>
      <w:r w:rsidR="00524FB8" w:rsidRPr="007A55A2">
        <w:rPr>
          <w:rFonts w:ascii="Times New Roman" w:hAnsi="Times New Roman" w:cs="Times New Roman"/>
          <w:color w:val="000000" w:themeColor="text1"/>
          <w:lang w:val="lv-LV"/>
        </w:rPr>
        <w:t>i</w:t>
      </w:r>
      <w:r w:rsidR="00E060DE" w:rsidRPr="007A55A2">
        <w:rPr>
          <w:rFonts w:ascii="Times New Roman" w:hAnsi="Times New Roman" w:cs="Times New Roman"/>
          <w:color w:val="000000" w:themeColor="text1"/>
          <w:lang w:val="lv-LV"/>
        </w:rPr>
        <w:t>, skatot pret citām tiešajām izmaksām.</w:t>
      </w:r>
    </w:p>
    <w:p w14:paraId="61DD2248" w14:textId="4318B706" w:rsidR="001016BC" w:rsidRPr="007A55A2" w:rsidRDefault="001016BC" w:rsidP="009031DF">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Vērojams, ka </w:t>
      </w:r>
      <w:r w:rsidR="00745371" w:rsidRPr="007A55A2">
        <w:rPr>
          <w:rFonts w:ascii="Times New Roman" w:hAnsi="Times New Roman" w:cs="Times New Roman"/>
          <w:color w:val="000000" w:themeColor="text1"/>
          <w:lang w:val="lv-LV"/>
        </w:rPr>
        <w:t xml:space="preserve">līdz </w:t>
      </w:r>
      <w:r w:rsidR="00DD6130" w:rsidRPr="007A55A2">
        <w:rPr>
          <w:rFonts w:ascii="Times New Roman" w:hAnsi="Times New Roman" w:cs="Times New Roman"/>
          <w:color w:val="000000" w:themeColor="text1"/>
          <w:lang w:val="lv-LV"/>
        </w:rPr>
        <w:t>grozījumiem MK</w:t>
      </w:r>
      <w:r w:rsidR="00ED5AC0" w:rsidRPr="007A55A2">
        <w:rPr>
          <w:rFonts w:ascii="Times New Roman" w:hAnsi="Times New Roman" w:cs="Times New Roman"/>
          <w:color w:val="000000" w:themeColor="text1"/>
          <w:lang w:val="lv-LV"/>
        </w:rPr>
        <w:t xml:space="preserve"> noteikumos Nr. </w:t>
      </w:r>
      <w:r w:rsidR="00DD6130" w:rsidRPr="007A55A2">
        <w:rPr>
          <w:rFonts w:ascii="Times New Roman" w:hAnsi="Times New Roman" w:cs="Times New Roman"/>
          <w:color w:val="000000" w:themeColor="text1"/>
          <w:lang w:val="lv-LV"/>
        </w:rPr>
        <w:t>277</w:t>
      </w:r>
      <w:r w:rsidR="00745371" w:rsidRPr="007A55A2">
        <w:rPr>
          <w:rFonts w:ascii="Times New Roman" w:hAnsi="Times New Roman" w:cs="Times New Roman"/>
          <w:color w:val="000000" w:themeColor="text1"/>
          <w:lang w:val="lv-LV"/>
        </w:rPr>
        <w:t xml:space="preserve"> VPP </w:t>
      </w:r>
      <w:r w:rsidR="004A4A39" w:rsidRPr="007A55A2">
        <w:rPr>
          <w:rFonts w:ascii="Times New Roman" w:hAnsi="Times New Roman" w:cs="Times New Roman"/>
          <w:color w:val="000000" w:themeColor="text1"/>
          <w:lang w:val="lv-LV"/>
        </w:rPr>
        <w:t xml:space="preserve">pieteikumos bija paredzēta </w:t>
      </w:r>
      <w:r w:rsidR="001702CB" w:rsidRPr="007A55A2">
        <w:rPr>
          <w:rFonts w:ascii="Times New Roman" w:hAnsi="Times New Roman" w:cs="Times New Roman"/>
          <w:color w:val="000000" w:themeColor="text1"/>
          <w:lang w:val="lv-LV"/>
        </w:rPr>
        <w:t xml:space="preserve">netiešo izmaksu </w:t>
      </w:r>
      <w:r w:rsidR="004A4A39" w:rsidRPr="007A55A2">
        <w:rPr>
          <w:rFonts w:ascii="Times New Roman" w:hAnsi="Times New Roman" w:cs="Times New Roman"/>
          <w:color w:val="000000" w:themeColor="text1"/>
          <w:lang w:val="lv-LV"/>
        </w:rPr>
        <w:t>vienot</w:t>
      </w:r>
      <w:r w:rsidR="001702CB" w:rsidRPr="007A55A2">
        <w:rPr>
          <w:rFonts w:ascii="Times New Roman" w:hAnsi="Times New Roman" w:cs="Times New Roman"/>
          <w:color w:val="000000" w:themeColor="text1"/>
          <w:lang w:val="lv-LV"/>
        </w:rPr>
        <w:t>ā</w:t>
      </w:r>
      <w:r w:rsidR="004A4A39" w:rsidRPr="007A55A2">
        <w:rPr>
          <w:rFonts w:ascii="Times New Roman" w:hAnsi="Times New Roman" w:cs="Times New Roman"/>
          <w:color w:val="000000" w:themeColor="text1"/>
          <w:lang w:val="lv-LV"/>
        </w:rPr>
        <w:t xml:space="preserve"> likme 25% no tiešajām </w:t>
      </w:r>
      <w:r w:rsidR="001702CB" w:rsidRPr="007A55A2">
        <w:rPr>
          <w:rFonts w:ascii="Times New Roman" w:hAnsi="Times New Roman" w:cs="Times New Roman"/>
          <w:color w:val="000000" w:themeColor="text1"/>
          <w:lang w:val="lv-LV"/>
        </w:rPr>
        <w:t xml:space="preserve">izmaksām, kas </w:t>
      </w:r>
      <w:r w:rsidR="007D1B12" w:rsidRPr="007A55A2">
        <w:rPr>
          <w:rFonts w:ascii="Times New Roman" w:hAnsi="Times New Roman" w:cs="Times New Roman"/>
          <w:color w:val="000000" w:themeColor="text1"/>
          <w:lang w:val="lv-LV"/>
        </w:rPr>
        <w:t xml:space="preserve">līdz ar to </w:t>
      </w:r>
      <w:r w:rsidR="001702CB" w:rsidRPr="007A55A2">
        <w:rPr>
          <w:rFonts w:ascii="Times New Roman" w:hAnsi="Times New Roman" w:cs="Times New Roman"/>
          <w:color w:val="000000" w:themeColor="text1"/>
          <w:lang w:val="lv-LV"/>
        </w:rPr>
        <w:t>veidoja 20% no visām projektu izmaksām</w:t>
      </w:r>
      <w:r w:rsidR="00130FD9" w:rsidRPr="007A55A2">
        <w:rPr>
          <w:rFonts w:ascii="Times New Roman" w:hAnsi="Times New Roman" w:cs="Times New Roman"/>
          <w:color w:val="000000" w:themeColor="text1"/>
          <w:lang w:val="lv-LV"/>
        </w:rPr>
        <w:t xml:space="preserve"> jeb budžeta</w:t>
      </w:r>
      <w:r w:rsidR="00893FF6" w:rsidRPr="007A55A2">
        <w:rPr>
          <w:rFonts w:ascii="Times New Roman" w:hAnsi="Times New Roman" w:cs="Times New Roman"/>
          <w:color w:val="000000" w:themeColor="text1"/>
          <w:lang w:val="lv-LV"/>
        </w:rPr>
        <w:t xml:space="preserve">. Skatot netiešās izmaksas pret </w:t>
      </w:r>
      <w:r w:rsidR="00425EF1" w:rsidRPr="007A55A2">
        <w:rPr>
          <w:rFonts w:ascii="Times New Roman" w:hAnsi="Times New Roman" w:cs="Times New Roman"/>
          <w:color w:val="000000" w:themeColor="text1"/>
          <w:lang w:val="lv-LV"/>
        </w:rPr>
        <w:t>tiešajām attiecināmajām</w:t>
      </w:r>
      <w:r w:rsidR="009A5708" w:rsidRPr="007A55A2">
        <w:rPr>
          <w:rFonts w:ascii="Times New Roman" w:hAnsi="Times New Roman" w:cs="Times New Roman"/>
          <w:color w:val="000000" w:themeColor="text1"/>
          <w:lang w:val="lv-LV"/>
        </w:rPr>
        <w:t xml:space="preserve"> izmaksām</w:t>
      </w:r>
      <w:r w:rsidR="00425EF1" w:rsidRPr="007A55A2">
        <w:rPr>
          <w:rFonts w:ascii="Times New Roman" w:hAnsi="Times New Roman" w:cs="Times New Roman"/>
          <w:color w:val="000000" w:themeColor="text1"/>
          <w:lang w:val="lv-LV"/>
        </w:rPr>
        <w:t>, atskaitot ārējo pakalpojumu izmaksas</w:t>
      </w:r>
      <w:r w:rsidR="007F6215" w:rsidRPr="007A55A2">
        <w:rPr>
          <w:rFonts w:ascii="Times New Roman" w:hAnsi="Times New Roman" w:cs="Times New Roman"/>
          <w:color w:val="000000" w:themeColor="text1"/>
          <w:lang w:val="lv-LV"/>
        </w:rPr>
        <w:t xml:space="preserve">, </w:t>
      </w:r>
      <w:r w:rsidR="00893FF6" w:rsidRPr="007A55A2">
        <w:rPr>
          <w:rFonts w:ascii="Times New Roman" w:hAnsi="Times New Roman" w:cs="Times New Roman"/>
          <w:color w:val="000000" w:themeColor="text1"/>
          <w:lang w:val="lv-LV"/>
        </w:rPr>
        <w:t xml:space="preserve">tās vidēji </w:t>
      </w:r>
      <w:r w:rsidR="00CD11CF" w:rsidRPr="007A55A2">
        <w:rPr>
          <w:rFonts w:ascii="Times New Roman" w:hAnsi="Times New Roman" w:cs="Times New Roman"/>
          <w:color w:val="000000" w:themeColor="text1"/>
          <w:lang w:val="lv-LV"/>
        </w:rPr>
        <w:t xml:space="preserve">bija </w:t>
      </w:r>
      <w:r w:rsidR="00893FF6" w:rsidRPr="007A55A2">
        <w:rPr>
          <w:rFonts w:ascii="Times New Roman" w:hAnsi="Times New Roman" w:cs="Times New Roman"/>
          <w:color w:val="000000" w:themeColor="text1"/>
          <w:lang w:val="lv-LV"/>
        </w:rPr>
        <w:t>nedaudz augstākas - 26,9%</w:t>
      </w:r>
      <w:r w:rsidR="00CD11CF" w:rsidRPr="007A55A2">
        <w:rPr>
          <w:rFonts w:ascii="Times New Roman" w:hAnsi="Times New Roman" w:cs="Times New Roman"/>
          <w:color w:val="000000" w:themeColor="text1"/>
          <w:lang w:val="lv-LV"/>
        </w:rPr>
        <w:t>, bet</w:t>
      </w:r>
      <w:r w:rsidR="00524FB8" w:rsidRPr="007A55A2">
        <w:rPr>
          <w:rFonts w:ascii="Times New Roman" w:hAnsi="Times New Roman" w:cs="Times New Roman"/>
          <w:color w:val="000000" w:themeColor="text1"/>
          <w:lang w:val="lv-LV"/>
        </w:rPr>
        <w:t>,</w:t>
      </w:r>
      <w:r w:rsidR="00CD11CF" w:rsidRPr="007A55A2">
        <w:rPr>
          <w:rFonts w:ascii="Times New Roman" w:hAnsi="Times New Roman" w:cs="Times New Roman"/>
          <w:color w:val="000000" w:themeColor="text1"/>
          <w:lang w:val="lv-LV"/>
        </w:rPr>
        <w:t xml:space="preserve"> skatot </w:t>
      </w:r>
      <w:r w:rsidR="00E550B2" w:rsidRPr="007A55A2">
        <w:rPr>
          <w:rFonts w:ascii="Times New Roman" w:hAnsi="Times New Roman" w:cs="Times New Roman"/>
          <w:color w:val="000000" w:themeColor="text1"/>
          <w:lang w:val="lv-LV"/>
        </w:rPr>
        <w:t>pret</w:t>
      </w:r>
      <w:r w:rsidR="00422797" w:rsidRPr="007A55A2">
        <w:rPr>
          <w:rFonts w:ascii="Times New Roman" w:hAnsi="Times New Roman" w:cs="Times New Roman"/>
          <w:color w:val="000000" w:themeColor="text1"/>
          <w:lang w:val="lv-LV"/>
        </w:rPr>
        <w:t xml:space="preserve"> zinātniskās grupas atalgojuma izmaksām</w:t>
      </w:r>
      <w:r w:rsidR="00524FB8" w:rsidRPr="007A55A2">
        <w:rPr>
          <w:rFonts w:ascii="Times New Roman" w:hAnsi="Times New Roman" w:cs="Times New Roman"/>
          <w:color w:val="000000" w:themeColor="text1"/>
          <w:lang w:val="lv-LV"/>
        </w:rPr>
        <w:t>,</w:t>
      </w:r>
      <w:r w:rsidR="00422797" w:rsidRPr="007A55A2">
        <w:rPr>
          <w:rFonts w:ascii="Times New Roman" w:hAnsi="Times New Roman" w:cs="Times New Roman"/>
          <w:color w:val="000000" w:themeColor="text1"/>
          <w:lang w:val="lv-LV"/>
        </w:rPr>
        <w:t xml:space="preserve"> </w:t>
      </w:r>
      <w:r w:rsidR="00CD11CF" w:rsidRPr="007A55A2">
        <w:rPr>
          <w:rFonts w:ascii="Times New Roman" w:hAnsi="Times New Roman" w:cs="Times New Roman"/>
          <w:color w:val="000000" w:themeColor="text1"/>
          <w:lang w:val="lv-LV"/>
        </w:rPr>
        <w:t>vidēji veidoja vēl augstāku daļu no tām 32,1%.</w:t>
      </w:r>
    </w:p>
    <w:p w14:paraId="289008AC" w14:textId="2F55A963" w:rsidR="00AA4EC5" w:rsidRPr="007A55A2" w:rsidRDefault="00AA4EC5" w:rsidP="009031DF">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Stājoties spēkā grozījumiem MK noteikumos Nr. 277, VPP Īstenošanas un uzraudzības komisijas, kuras apstiprināja par attiecīgo VPP atbildīgās ministrijas, VPP nolikumos paredzēja būtiski zemākas netiešo izmaksu likmes, nosakot netiešo izmaksu aprēķina kārtību atbilstoši vienam no iepriekš minētajiem diviem veidiem. Programmu projektos, kur</w:t>
      </w:r>
      <w:r w:rsidR="00524FB8" w:rsidRPr="007A55A2">
        <w:rPr>
          <w:rFonts w:ascii="Times New Roman" w:hAnsi="Times New Roman" w:cs="Times New Roman"/>
          <w:color w:val="000000" w:themeColor="text1"/>
          <w:lang w:val="lv-LV"/>
        </w:rPr>
        <w:t>o</w:t>
      </w:r>
      <w:r w:rsidRPr="007A55A2">
        <w:rPr>
          <w:rFonts w:ascii="Times New Roman" w:hAnsi="Times New Roman" w:cs="Times New Roman"/>
          <w:color w:val="000000" w:themeColor="text1"/>
          <w:lang w:val="lv-LV"/>
        </w:rPr>
        <w:t>s netiešās izmaksas noteiktas kā daļa no tiešajām izmaksām, no kurām izslēgtas ārējo pakalpojumu izmaksas, skatot pret kopējo projekta budžetu, to īpatsvars samazinājās, salīdzinot ar iepriekšējo aprēķina kārtību, no 20% līdz vidēji 11,3%. Savukārt skatot tās pret atlīdzības izmaksām, to īpatsvars kritās apmēram divas reizes</w:t>
      </w:r>
      <w:r w:rsidR="00524FB8" w:rsidRPr="007A55A2">
        <w:rPr>
          <w:rFonts w:ascii="Times New Roman" w:hAnsi="Times New Roman" w:cs="Times New Roman"/>
          <w:color w:val="000000" w:themeColor="text1"/>
          <w:lang w:val="lv-LV"/>
        </w:rPr>
        <w:t xml:space="preserve"> un sasniedza</w:t>
      </w:r>
      <w:r w:rsidRPr="007A55A2">
        <w:rPr>
          <w:rFonts w:ascii="Times New Roman" w:hAnsi="Times New Roman" w:cs="Times New Roman"/>
          <w:color w:val="000000" w:themeColor="text1"/>
          <w:lang w:val="lv-LV"/>
        </w:rPr>
        <w:t xml:space="preserve"> vidēj</w:t>
      </w:r>
      <w:r w:rsidR="00524FB8" w:rsidRPr="007A55A2">
        <w:rPr>
          <w:rFonts w:ascii="Times New Roman" w:hAnsi="Times New Roman" w:cs="Times New Roman"/>
          <w:color w:val="000000" w:themeColor="text1"/>
          <w:lang w:val="lv-LV"/>
        </w:rPr>
        <w:t>o vērtību</w:t>
      </w:r>
      <w:r w:rsidRPr="007A55A2">
        <w:rPr>
          <w:rFonts w:ascii="Times New Roman" w:hAnsi="Times New Roman" w:cs="Times New Roman"/>
          <w:color w:val="000000" w:themeColor="text1"/>
          <w:lang w:val="lv-LV"/>
        </w:rPr>
        <w:t xml:space="preserve"> 16,4%, kas tomēr ir augstāk</w:t>
      </w:r>
      <w:r w:rsidR="00524FB8" w:rsidRPr="007A55A2">
        <w:rPr>
          <w:rFonts w:ascii="Times New Roman" w:hAnsi="Times New Roman" w:cs="Times New Roman"/>
          <w:color w:val="000000" w:themeColor="text1"/>
          <w:lang w:val="lv-LV"/>
        </w:rPr>
        <w:t>a</w:t>
      </w:r>
      <w:r w:rsidRPr="007A55A2">
        <w:rPr>
          <w:rFonts w:ascii="Times New Roman" w:hAnsi="Times New Roman" w:cs="Times New Roman"/>
          <w:color w:val="000000" w:themeColor="text1"/>
          <w:lang w:val="lv-LV"/>
        </w:rPr>
        <w:t xml:space="preserve"> kā otrajā jaunajā modelī paredzētie 15%. Salīdzinot netiešo izmaksu daļu no tiešajām izmaksām, no kurām izslēgtas ārējo pakalpojumu izmaksas, ar šādu izmaksu daļu no visām tiešajām izmaksām, var redzēt, ka šī daļa samazinās vidēji no 14,4% līdz 12,7, kas skaidrojams ar to, ka ārējo pakalpojumu izmaksas veido salīdzinoši nelielu izmaksu daļu. </w:t>
      </w:r>
      <w:r w:rsidR="00F178DA" w:rsidRPr="007A55A2">
        <w:rPr>
          <w:rFonts w:ascii="Times New Roman" w:hAnsi="Times New Roman" w:cs="Times New Roman"/>
          <w:color w:val="000000" w:themeColor="text1"/>
          <w:lang w:val="lv-LV"/>
        </w:rPr>
        <w:t>L</w:t>
      </w:r>
      <w:r w:rsidRPr="007A55A2">
        <w:rPr>
          <w:rFonts w:ascii="Times New Roman" w:hAnsi="Times New Roman" w:cs="Times New Roman"/>
          <w:color w:val="000000" w:themeColor="text1"/>
          <w:lang w:val="lv-LV"/>
        </w:rPr>
        <w:t xml:space="preserve">īdz šim </w:t>
      </w:r>
      <w:r w:rsidR="00F178DA" w:rsidRPr="007A55A2">
        <w:rPr>
          <w:rFonts w:ascii="Times New Roman" w:hAnsi="Times New Roman" w:cs="Times New Roman"/>
          <w:color w:val="000000" w:themeColor="text1"/>
          <w:lang w:val="lv-LV"/>
        </w:rPr>
        <w:t xml:space="preserve">vienīgajā </w:t>
      </w:r>
      <w:r w:rsidRPr="007A55A2">
        <w:rPr>
          <w:rFonts w:ascii="Times New Roman" w:hAnsi="Times New Roman" w:cs="Times New Roman"/>
          <w:color w:val="000000" w:themeColor="text1"/>
          <w:lang w:val="lv-LV"/>
        </w:rPr>
        <w:t xml:space="preserve">VPP </w:t>
      </w:r>
      <w:r w:rsidR="00F178DA" w:rsidRPr="007A55A2">
        <w:rPr>
          <w:rFonts w:ascii="Times New Roman" w:hAnsi="Times New Roman" w:cs="Times New Roman"/>
          <w:color w:val="000000" w:themeColor="text1"/>
          <w:lang w:val="lv-LV"/>
        </w:rPr>
        <w:t xml:space="preserve">“Latvijas kultūra – resurss valsts attīstībai” </w:t>
      </w:r>
      <w:r w:rsidRPr="007A55A2">
        <w:rPr>
          <w:rFonts w:ascii="Times New Roman" w:hAnsi="Times New Roman" w:cs="Times New Roman"/>
          <w:color w:val="000000" w:themeColor="text1"/>
          <w:lang w:val="lv-LV"/>
        </w:rPr>
        <w:t xml:space="preserve">projektā, kurā netiešās izmaksas noteiktas kā daļa no atlīdzības izmaksām, skatot tās pret tiešajām izmaksām, no kurām izslēgtas ārējo pakalpojumu izmaksas, </w:t>
      </w:r>
      <w:r w:rsidR="00F178DA" w:rsidRPr="007A55A2">
        <w:rPr>
          <w:rFonts w:ascii="Times New Roman" w:hAnsi="Times New Roman" w:cs="Times New Roman"/>
          <w:color w:val="000000" w:themeColor="text1"/>
          <w:lang w:val="lv-LV"/>
        </w:rPr>
        <w:t xml:space="preserve">netiešās izmaksas </w:t>
      </w:r>
      <w:r w:rsidRPr="007A55A2">
        <w:rPr>
          <w:rFonts w:ascii="Times New Roman" w:hAnsi="Times New Roman" w:cs="Times New Roman"/>
          <w:color w:val="000000" w:themeColor="text1"/>
          <w:lang w:val="lv-LV"/>
        </w:rPr>
        <w:t xml:space="preserve">veido 13,6% no šīm tiešajām izmaksām. </w:t>
      </w:r>
      <w:r w:rsidR="00F10018" w:rsidRPr="007A55A2">
        <w:rPr>
          <w:rFonts w:ascii="Times New Roman" w:hAnsi="Times New Roman" w:cs="Times New Roman"/>
          <w:color w:val="000000" w:themeColor="text1"/>
          <w:lang w:val="lv-LV"/>
        </w:rPr>
        <w:t>“</w:t>
      </w:r>
    </w:p>
    <w:p w14:paraId="0BE53AEC" w14:textId="0791C429" w:rsidR="00F10018" w:rsidRPr="007A55A2" w:rsidRDefault="00F10018" w:rsidP="00F10018">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Jāatzīmē, ka projektu pieteikumos, kas sagatavoti atbilstoši nosacījumam, ka netiešās izmaksas var veidot līdz 15% no tiešajām izmaksām, no kurām izslēgtas ārējo pakalpojumu izmaksas, projektu iesniedzēji bieži neizmantoja šo maksimāli pieļaujamo robežu un aprobežojas vidēji ar 14,4%, vairāk resursu novirzot tieši pētniecībai.</w:t>
      </w:r>
    </w:p>
    <w:p w14:paraId="6DBF84C0" w14:textId="4D04ADE0" w:rsidR="007A53B2" w:rsidRPr="007A55A2" w:rsidRDefault="007A53B2" w:rsidP="00F10018">
      <w:pPr>
        <w:keepNext/>
        <w:keepLines/>
        <w:spacing w:before="360" w:after="240"/>
        <w:ind w:right="-6"/>
        <w:jc w:val="both"/>
        <w:rPr>
          <w:rFonts w:ascii="Times New Roman" w:hAnsi="Times New Roman" w:cs="Times New Roman"/>
          <w:b/>
          <w:bCs/>
          <w:color w:val="000000" w:themeColor="text1"/>
          <w:lang w:val="lv-LV"/>
        </w:rPr>
      </w:pPr>
      <w:r w:rsidRPr="007A55A2">
        <w:rPr>
          <w:rFonts w:ascii="Times New Roman" w:hAnsi="Times New Roman" w:cs="Times New Roman"/>
          <w:b/>
          <w:bCs/>
          <w:color w:val="000000" w:themeColor="text1"/>
          <w:lang w:val="lv-LV"/>
        </w:rPr>
        <w:lastRenderedPageBreak/>
        <w:t>Tabula 2. Netiešo izmaksu aprēķina kārtība un netiešo izmaksu daļa (vidējās vērtības) no citiem izmaksu veidiem VPP un FLPP projektos.</w:t>
      </w:r>
    </w:p>
    <w:tbl>
      <w:tblPr>
        <w:tblStyle w:val="TableGrid"/>
        <w:tblW w:w="9061" w:type="dxa"/>
        <w:tblLook w:val="04A0" w:firstRow="1" w:lastRow="0" w:firstColumn="1" w:lastColumn="0" w:noHBand="0" w:noVBand="1"/>
      </w:tblPr>
      <w:tblGrid>
        <w:gridCol w:w="1413"/>
        <w:gridCol w:w="1491"/>
        <w:gridCol w:w="1261"/>
        <w:gridCol w:w="1136"/>
        <w:gridCol w:w="1136"/>
        <w:gridCol w:w="1401"/>
        <w:gridCol w:w="1223"/>
      </w:tblGrid>
      <w:tr w:rsidR="007A55A2" w:rsidRPr="00545E0A" w14:paraId="16ECA6E3" w14:textId="77777777" w:rsidTr="008439F6">
        <w:trPr>
          <w:cantSplit/>
        </w:trPr>
        <w:tc>
          <w:tcPr>
            <w:tcW w:w="1413" w:type="dxa"/>
          </w:tcPr>
          <w:p w14:paraId="6754B5C1" w14:textId="77777777" w:rsidR="007A53B2" w:rsidRPr="007A55A2" w:rsidRDefault="007A53B2" w:rsidP="00A743DD">
            <w:pPr>
              <w:ind w:right="-7"/>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Projektu veids</w:t>
            </w:r>
          </w:p>
        </w:tc>
        <w:tc>
          <w:tcPr>
            <w:tcW w:w="1491" w:type="dxa"/>
          </w:tcPr>
          <w:p w14:paraId="37CD9EA1" w14:textId="77777777" w:rsidR="007A53B2" w:rsidRPr="007A55A2" w:rsidRDefault="007A53B2" w:rsidP="00A743DD">
            <w:pPr>
              <w:ind w:right="-7"/>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Netiešo izmaksu regulējošais dokuments</w:t>
            </w:r>
          </w:p>
        </w:tc>
        <w:tc>
          <w:tcPr>
            <w:tcW w:w="1261" w:type="dxa"/>
          </w:tcPr>
          <w:p w14:paraId="664B6772" w14:textId="77777777" w:rsidR="007A53B2" w:rsidRPr="007A55A2" w:rsidRDefault="007A53B2" w:rsidP="00A743DD">
            <w:pPr>
              <w:ind w:right="-7"/>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Netiešo izmaksu likme</w:t>
            </w:r>
          </w:p>
        </w:tc>
        <w:tc>
          <w:tcPr>
            <w:tcW w:w="1136" w:type="dxa"/>
          </w:tcPr>
          <w:p w14:paraId="75CC5BE6" w14:textId="79598821" w:rsidR="007A53B2" w:rsidRPr="007A55A2" w:rsidRDefault="007A53B2" w:rsidP="00A743DD">
            <w:pPr>
              <w:ind w:right="-7"/>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 xml:space="preserve">Netiešās izmaksas no projekta visām izmaksām jeb </w:t>
            </w:r>
            <w:r w:rsidR="00DE582B" w:rsidRPr="007A55A2">
              <w:rPr>
                <w:rFonts w:ascii="Times New Roman" w:hAnsi="Times New Roman" w:cs="Times New Roman"/>
                <w:color w:val="000000" w:themeColor="text1"/>
                <w:sz w:val="20"/>
                <w:szCs w:val="20"/>
                <w:lang w:val="lv-LV"/>
              </w:rPr>
              <w:t xml:space="preserve">no </w:t>
            </w:r>
            <w:r w:rsidRPr="007A55A2">
              <w:rPr>
                <w:rFonts w:ascii="Times New Roman" w:hAnsi="Times New Roman" w:cs="Times New Roman"/>
                <w:color w:val="000000" w:themeColor="text1"/>
                <w:sz w:val="20"/>
                <w:szCs w:val="20"/>
                <w:lang w:val="lv-LV"/>
              </w:rPr>
              <w:t>projekta budžetu (%)</w:t>
            </w:r>
          </w:p>
        </w:tc>
        <w:tc>
          <w:tcPr>
            <w:tcW w:w="1136" w:type="dxa"/>
          </w:tcPr>
          <w:p w14:paraId="3BEE7E71" w14:textId="6628DD6E" w:rsidR="007A53B2" w:rsidRPr="007A55A2" w:rsidRDefault="007A53B2" w:rsidP="00A743DD">
            <w:pPr>
              <w:ind w:right="-7"/>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Netiešās izmaksas no tiešajām attieci-nāmajām izmaksām (%)</w:t>
            </w:r>
          </w:p>
        </w:tc>
        <w:tc>
          <w:tcPr>
            <w:tcW w:w="1401" w:type="dxa"/>
          </w:tcPr>
          <w:p w14:paraId="47758081" w14:textId="5105B2BD" w:rsidR="007A53B2" w:rsidRPr="007A55A2" w:rsidRDefault="007A53B2" w:rsidP="00A743DD">
            <w:pPr>
              <w:ind w:right="-7"/>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Netiešās izmaksas no tiešajām attieci-nāmajām, atskaitot ārējo pakalpojumu izmaksas izmaksām (%)</w:t>
            </w:r>
          </w:p>
        </w:tc>
        <w:tc>
          <w:tcPr>
            <w:tcW w:w="1223" w:type="dxa"/>
          </w:tcPr>
          <w:p w14:paraId="01CFAB56" w14:textId="6FEB5382" w:rsidR="007A53B2" w:rsidRPr="007A55A2" w:rsidRDefault="007A53B2" w:rsidP="00A743DD">
            <w:pPr>
              <w:ind w:right="-7"/>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Netiešās izmaksas no zinātniskās grupas atalgojuma izmaksām (%)</w:t>
            </w:r>
          </w:p>
        </w:tc>
      </w:tr>
      <w:tr w:rsidR="007A55A2" w:rsidRPr="007A55A2" w14:paraId="4FDDD81C" w14:textId="77777777" w:rsidTr="008439F6">
        <w:trPr>
          <w:cantSplit/>
        </w:trPr>
        <w:tc>
          <w:tcPr>
            <w:tcW w:w="1413" w:type="dxa"/>
          </w:tcPr>
          <w:p w14:paraId="0FCAFF21" w14:textId="77777777" w:rsidR="007A53B2" w:rsidRPr="007A55A2" w:rsidRDefault="007A53B2" w:rsidP="008439F6">
            <w:pPr>
              <w:ind w:right="-7"/>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VPP līdz 08.06.2023*</w:t>
            </w:r>
          </w:p>
        </w:tc>
        <w:tc>
          <w:tcPr>
            <w:tcW w:w="1491" w:type="dxa"/>
          </w:tcPr>
          <w:p w14:paraId="79AA42FE" w14:textId="77777777" w:rsidR="007A53B2" w:rsidRPr="007A55A2" w:rsidRDefault="007A53B2" w:rsidP="00A743DD">
            <w:pPr>
              <w:ind w:right="-7"/>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MK noteikumi</w:t>
            </w:r>
          </w:p>
        </w:tc>
        <w:tc>
          <w:tcPr>
            <w:tcW w:w="1261" w:type="dxa"/>
          </w:tcPr>
          <w:p w14:paraId="13D8F859" w14:textId="77777777" w:rsidR="007A53B2" w:rsidRPr="007A55A2" w:rsidRDefault="007A53B2" w:rsidP="008439F6">
            <w:pPr>
              <w:ind w:right="-7"/>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25% no tiešajām izmaksām</w:t>
            </w:r>
          </w:p>
        </w:tc>
        <w:tc>
          <w:tcPr>
            <w:tcW w:w="1136" w:type="dxa"/>
            <w:vAlign w:val="center"/>
          </w:tcPr>
          <w:p w14:paraId="05BC1B5E" w14:textId="77777777" w:rsidR="007A53B2" w:rsidRPr="007A55A2" w:rsidRDefault="007A53B2" w:rsidP="008439F6">
            <w:pPr>
              <w:ind w:right="-7"/>
              <w:jc w:val="cente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rPr>
              <w:t>20,0</w:t>
            </w:r>
          </w:p>
        </w:tc>
        <w:tc>
          <w:tcPr>
            <w:tcW w:w="1136" w:type="dxa"/>
            <w:vAlign w:val="center"/>
          </w:tcPr>
          <w:p w14:paraId="1C729EFF" w14:textId="77777777" w:rsidR="007A53B2" w:rsidRPr="007A55A2" w:rsidRDefault="007A53B2" w:rsidP="008439F6">
            <w:pPr>
              <w:ind w:right="-7"/>
              <w:jc w:val="center"/>
              <w:rPr>
                <w:rFonts w:ascii="Times New Roman" w:hAnsi="Times New Roman" w:cs="Times New Roman"/>
                <w:b/>
                <w:bCs/>
                <w:color w:val="000000" w:themeColor="text1"/>
                <w:sz w:val="20"/>
                <w:szCs w:val="20"/>
                <w:lang w:val="lv-LV"/>
              </w:rPr>
            </w:pPr>
            <w:r w:rsidRPr="007A55A2">
              <w:rPr>
                <w:rFonts w:ascii="Times New Roman" w:hAnsi="Times New Roman" w:cs="Times New Roman"/>
                <w:b/>
                <w:bCs/>
                <w:color w:val="000000" w:themeColor="text1"/>
                <w:sz w:val="20"/>
                <w:szCs w:val="20"/>
              </w:rPr>
              <w:t>25,0</w:t>
            </w:r>
          </w:p>
        </w:tc>
        <w:tc>
          <w:tcPr>
            <w:tcW w:w="1401" w:type="dxa"/>
            <w:vAlign w:val="center"/>
          </w:tcPr>
          <w:p w14:paraId="744A58CD" w14:textId="77777777" w:rsidR="007A53B2" w:rsidRPr="007A55A2" w:rsidRDefault="007A53B2" w:rsidP="008439F6">
            <w:pPr>
              <w:ind w:right="-7"/>
              <w:jc w:val="cente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rPr>
              <w:t>26,9</w:t>
            </w:r>
          </w:p>
        </w:tc>
        <w:tc>
          <w:tcPr>
            <w:tcW w:w="1223" w:type="dxa"/>
            <w:vAlign w:val="center"/>
          </w:tcPr>
          <w:p w14:paraId="633DAB34" w14:textId="77777777" w:rsidR="007A53B2" w:rsidRPr="007A55A2" w:rsidRDefault="007A53B2" w:rsidP="008439F6">
            <w:pPr>
              <w:ind w:right="-7"/>
              <w:jc w:val="cente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rPr>
              <w:t>32,1</w:t>
            </w:r>
          </w:p>
        </w:tc>
      </w:tr>
      <w:tr w:rsidR="007A55A2" w:rsidRPr="007A55A2" w14:paraId="35ECA1D2" w14:textId="77777777" w:rsidTr="008439F6">
        <w:trPr>
          <w:cantSplit/>
        </w:trPr>
        <w:tc>
          <w:tcPr>
            <w:tcW w:w="1413" w:type="dxa"/>
          </w:tcPr>
          <w:p w14:paraId="0CB88B6F" w14:textId="3ECE47D9" w:rsidR="007A53B2" w:rsidRPr="007A55A2" w:rsidRDefault="007A53B2" w:rsidP="008439F6">
            <w:pPr>
              <w:ind w:right="-7"/>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 xml:space="preserve">VPP </w:t>
            </w:r>
            <w:r w:rsidR="008439F6" w:rsidRPr="007A55A2">
              <w:rPr>
                <w:rFonts w:ascii="Times New Roman" w:hAnsi="Times New Roman" w:cs="Times New Roman"/>
                <w:color w:val="000000" w:themeColor="text1"/>
                <w:sz w:val="20"/>
                <w:szCs w:val="20"/>
                <w:lang w:val="lv-LV"/>
              </w:rPr>
              <w:br/>
            </w:r>
            <w:r w:rsidRPr="007A55A2">
              <w:rPr>
                <w:rFonts w:ascii="Times New Roman" w:hAnsi="Times New Roman" w:cs="Times New Roman"/>
                <w:color w:val="000000" w:themeColor="text1"/>
                <w:sz w:val="20"/>
                <w:szCs w:val="20"/>
                <w:lang w:val="lv-LV"/>
              </w:rPr>
              <w:t>no 09.06.2023, izņemot VPP “Latvijas kultūra – resurss valsts attīstībai”*</w:t>
            </w:r>
          </w:p>
        </w:tc>
        <w:tc>
          <w:tcPr>
            <w:tcW w:w="1491" w:type="dxa"/>
          </w:tcPr>
          <w:p w14:paraId="1EC9CBF6" w14:textId="77777777" w:rsidR="007A53B2" w:rsidRPr="007A55A2" w:rsidRDefault="007A53B2" w:rsidP="00A743DD">
            <w:pPr>
              <w:ind w:right="-7"/>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Nolikums</w:t>
            </w:r>
          </w:p>
        </w:tc>
        <w:tc>
          <w:tcPr>
            <w:tcW w:w="1261" w:type="dxa"/>
          </w:tcPr>
          <w:p w14:paraId="3EA25D68" w14:textId="77777777" w:rsidR="007A53B2" w:rsidRPr="007A55A2" w:rsidRDefault="007A53B2" w:rsidP="008439F6">
            <w:pPr>
              <w:ind w:right="-7"/>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līdz 15% no tiešajām izmaksām, atskaitot ārējo pakalpojumu izmaksas</w:t>
            </w:r>
          </w:p>
        </w:tc>
        <w:tc>
          <w:tcPr>
            <w:tcW w:w="1136" w:type="dxa"/>
            <w:vAlign w:val="center"/>
          </w:tcPr>
          <w:p w14:paraId="75E62BBB" w14:textId="77777777" w:rsidR="007A53B2" w:rsidRPr="007A55A2" w:rsidRDefault="007A53B2" w:rsidP="008439F6">
            <w:pPr>
              <w:ind w:right="-7"/>
              <w:jc w:val="cente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rPr>
              <w:t>11,3</w:t>
            </w:r>
          </w:p>
        </w:tc>
        <w:tc>
          <w:tcPr>
            <w:tcW w:w="1136" w:type="dxa"/>
            <w:vAlign w:val="center"/>
          </w:tcPr>
          <w:p w14:paraId="1A2893AE" w14:textId="77777777" w:rsidR="007A53B2" w:rsidRPr="007A55A2" w:rsidRDefault="007A53B2" w:rsidP="008439F6">
            <w:pPr>
              <w:ind w:right="-7"/>
              <w:jc w:val="cente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rPr>
              <w:t>12,7</w:t>
            </w:r>
          </w:p>
        </w:tc>
        <w:tc>
          <w:tcPr>
            <w:tcW w:w="1401" w:type="dxa"/>
            <w:vAlign w:val="center"/>
          </w:tcPr>
          <w:p w14:paraId="21B63FAC" w14:textId="77777777" w:rsidR="007A53B2" w:rsidRPr="007A55A2" w:rsidRDefault="007A53B2" w:rsidP="008439F6">
            <w:pPr>
              <w:ind w:right="-7"/>
              <w:jc w:val="center"/>
              <w:rPr>
                <w:rFonts w:ascii="Times New Roman" w:hAnsi="Times New Roman" w:cs="Times New Roman"/>
                <w:b/>
                <w:bCs/>
                <w:color w:val="000000" w:themeColor="text1"/>
                <w:sz w:val="20"/>
                <w:szCs w:val="20"/>
                <w:lang w:val="lv-LV"/>
              </w:rPr>
            </w:pPr>
            <w:r w:rsidRPr="007A55A2">
              <w:rPr>
                <w:rFonts w:ascii="Times New Roman" w:hAnsi="Times New Roman" w:cs="Times New Roman"/>
                <w:b/>
                <w:bCs/>
                <w:color w:val="000000" w:themeColor="text1"/>
                <w:sz w:val="20"/>
                <w:szCs w:val="20"/>
              </w:rPr>
              <w:t>14,4</w:t>
            </w:r>
          </w:p>
        </w:tc>
        <w:tc>
          <w:tcPr>
            <w:tcW w:w="1223" w:type="dxa"/>
            <w:vAlign w:val="center"/>
          </w:tcPr>
          <w:p w14:paraId="67B56B92" w14:textId="77777777" w:rsidR="007A53B2" w:rsidRPr="007A55A2" w:rsidRDefault="007A53B2" w:rsidP="008439F6">
            <w:pPr>
              <w:ind w:right="-7"/>
              <w:jc w:val="cente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rPr>
              <w:t>16,4</w:t>
            </w:r>
          </w:p>
        </w:tc>
      </w:tr>
      <w:tr w:rsidR="007A55A2" w:rsidRPr="007A55A2" w14:paraId="51A9D9B3" w14:textId="77777777" w:rsidTr="008439F6">
        <w:trPr>
          <w:cantSplit/>
        </w:trPr>
        <w:tc>
          <w:tcPr>
            <w:tcW w:w="1413" w:type="dxa"/>
          </w:tcPr>
          <w:p w14:paraId="5208D0B3" w14:textId="54E69E79" w:rsidR="007A53B2" w:rsidRPr="007A55A2" w:rsidRDefault="007A53B2" w:rsidP="008439F6">
            <w:pPr>
              <w:ind w:right="-7"/>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 xml:space="preserve">VPP </w:t>
            </w:r>
            <w:r w:rsidR="008439F6" w:rsidRPr="007A55A2">
              <w:rPr>
                <w:rFonts w:ascii="Times New Roman" w:hAnsi="Times New Roman" w:cs="Times New Roman"/>
                <w:color w:val="000000" w:themeColor="text1"/>
                <w:sz w:val="20"/>
                <w:szCs w:val="20"/>
                <w:lang w:val="lv-LV"/>
              </w:rPr>
              <w:br/>
            </w:r>
            <w:r w:rsidRPr="007A55A2">
              <w:rPr>
                <w:rFonts w:ascii="Times New Roman" w:hAnsi="Times New Roman" w:cs="Times New Roman"/>
                <w:color w:val="000000" w:themeColor="text1"/>
                <w:sz w:val="20"/>
                <w:szCs w:val="20"/>
                <w:lang w:val="lv-LV"/>
              </w:rPr>
              <w:t>no 09.06.2023</w:t>
            </w:r>
            <w:r w:rsidRPr="007A55A2">
              <w:rPr>
                <w:rFonts w:ascii="Times New Roman" w:hAnsi="Times New Roman" w:cs="Times New Roman"/>
                <w:color w:val="000000" w:themeColor="text1"/>
                <w:sz w:val="20"/>
                <w:szCs w:val="20"/>
                <w:lang w:val="lv-LV"/>
              </w:rPr>
              <w:br/>
              <w:t>VPP “Latvijas kultūra – resurss valsts attīstībai”*</w:t>
            </w:r>
          </w:p>
        </w:tc>
        <w:tc>
          <w:tcPr>
            <w:tcW w:w="1491" w:type="dxa"/>
          </w:tcPr>
          <w:p w14:paraId="373B53F2" w14:textId="77777777" w:rsidR="007A53B2" w:rsidRPr="007A55A2" w:rsidRDefault="007A53B2" w:rsidP="00A743DD">
            <w:pPr>
              <w:ind w:right="-7"/>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Nolikums</w:t>
            </w:r>
          </w:p>
        </w:tc>
        <w:tc>
          <w:tcPr>
            <w:tcW w:w="1261" w:type="dxa"/>
          </w:tcPr>
          <w:p w14:paraId="7A103A7C" w14:textId="77777777" w:rsidR="007A53B2" w:rsidRPr="007A55A2" w:rsidRDefault="007A53B2" w:rsidP="008439F6">
            <w:pPr>
              <w:ind w:right="-7"/>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15% no zinātniskās grupas atlīdzības izmaksām</w:t>
            </w:r>
          </w:p>
        </w:tc>
        <w:tc>
          <w:tcPr>
            <w:tcW w:w="1136" w:type="dxa"/>
            <w:vAlign w:val="center"/>
          </w:tcPr>
          <w:p w14:paraId="5BA0A380" w14:textId="77777777" w:rsidR="007A53B2" w:rsidRPr="007A55A2" w:rsidRDefault="007A53B2" w:rsidP="008439F6">
            <w:pPr>
              <w:ind w:right="-7"/>
              <w:jc w:val="cente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rPr>
              <w:t>11,1</w:t>
            </w:r>
          </w:p>
        </w:tc>
        <w:tc>
          <w:tcPr>
            <w:tcW w:w="1136" w:type="dxa"/>
            <w:vAlign w:val="center"/>
          </w:tcPr>
          <w:p w14:paraId="3CAD5A77" w14:textId="77777777" w:rsidR="007A53B2" w:rsidRPr="007A55A2" w:rsidRDefault="007A53B2" w:rsidP="008439F6">
            <w:pPr>
              <w:ind w:right="-7"/>
              <w:jc w:val="cente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rPr>
              <w:t>12,5</w:t>
            </w:r>
          </w:p>
        </w:tc>
        <w:tc>
          <w:tcPr>
            <w:tcW w:w="1401" w:type="dxa"/>
            <w:vAlign w:val="center"/>
          </w:tcPr>
          <w:p w14:paraId="61744F76" w14:textId="77777777" w:rsidR="007A53B2" w:rsidRPr="007A55A2" w:rsidRDefault="007A53B2" w:rsidP="008439F6">
            <w:pPr>
              <w:ind w:right="-7"/>
              <w:jc w:val="cente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rPr>
              <w:t>13,6</w:t>
            </w:r>
          </w:p>
        </w:tc>
        <w:tc>
          <w:tcPr>
            <w:tcW w:w="1223" w:type="dxa"/>
            <w:vAlign w:val="center"/>
          </w:tcPr>
          <w:p w14:paraId="46193F9A" w14:textId="77777777" w:rsidR="007A53B2" w:rsidRPr="007A55A2" w:rsidRDefault="007A53B2" w:rsidP="008439F6">
            <w:pPr>
              <w:ind w:right="-7"/>
              <w:jc w:val="center"/>
              <w:rPr>
                <w:rFonts w:ascii="Times New Roman" w:hAnsi="Times New Roman" w:cs="Times New Roman"/>
                <w:b/>
                <w:bCs/>
                <w:color w:val="000000" w:themeColor="text1"/>
                <w:sz w:val="20"/>
                <w:szCs w:val="20"/>
                <w:lang w:val="lv-LV"/>
              </w:rPr>
            </w:pPr>
            <w:r w:rsidRPr="007A55A2">
              <w:rPr>
                <w:rFonts w:ascii="Times New Roman" w:hAnsi="Times New Roman" w:cs="Times New Roman"/>
                <w:b/>
                <w:bCs/>
                <w:color w:val="000000" w:themeColor="text1"/>
                <w:sz w:val="20"/>
                <w:szCs w:val="20"/>
              </w:rPr>
              <w:t>15,0</w:t>
            </w:r>
          </w:p>
        </w:tc>
      </w:tr>
      <w:tr w:rsidR="007A55A2" w:rsidRPr="007A55A2" w14:paraId="52107CDA" w14:textId="77777777" w:rsidTr="008439F6">
        <w:trPr>
          <w:cantSplit/>
        </w:trPr>
        <w:tc>
          <w:tcPr>
            <w:tcW w:w="1413" w:type="dxa"/>
          </w:tcPr>
          <w:p w14:paraId="7C11914C" w14:textId="1B6408F1" w:rsidR="007A53B2" w:rsidRPr="007A55A2" w:rsidRDefault="007A53B2" w:rsidP="008439F6">
            <w:pPr>
              <w:ind w:right="-7"/>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 xml:space="preserve">FLPP </w:t>
            </w:r>
            <w:r w:rsidRPr="007A55A2">
              <w:rPr>
                <w:rFonts w:ascii="Times New Roman" w:hAnsi="Times New Roman" w:cs="Times New Roman"/>
                <w:color w:val="000000" w:themeColor="text1"/>
                <w:sz w:val="20"/>
                <w:szCs w:val="20"/>
                <w:lang w:val="lv-LV"/>
              </w:rPr>
              <w:br/>
              <w:t>2018/1**</w:t>
            </w:r>
          </w:p>
        </w:tc>
        <w:tc>
          <w:tcPr>
            <w:tcW w:w="1491" w:type="dxa"/>
          </w:tcPr>
          <w:p w14:paraId="490018AE" w14:textId="77777777" w:rsidR="007A53B2" w:rsidRPr="007A55A2" w:rsidRDefault="007A53B2" w:rsidP="00A743DD">
            <w:pPr>
              <w:ind w:right="-7"/>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Nolikums</w:t>
            </w:r>
          </w:p>
        </w:tc>
        <w:tc>
          <w:tcPr>
            <w:tcW w:w="1261" w:type="dxa"/>
          </w:tcPr>
          <w:p w14:paraId="23BF9FA8" w14:textId="77777777" w:rsidR="007A53B2" w:rsidRPr="007A55A2" w:rsidRDefault="007A53B2" w:rsidP="008439F6">
            <w:pPr>
              <w:ind w:right="-7"/>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līdz 10% no tiešajām izmaksām</w:t>
            </w:r>
          </w:p>
        </w:tc>
        <w:tc>
          <w:tcPr>
            <w:tcW w:w="1136" w:type="dxa"/>
            <w:vAlign w:val="center"/>
          </w:tcPr>
          <w:p w14:paraId="095CBEB6" w14:textId="77777777" w:rsidR="007A53B2" w:rsidRPr="007A55A2" w:rsidRDefault="007A53B2" w:rsidP="008439F6">
            <w:pPr>
              <w:ind w:right="-7"/>
              <w:jc w:val="center"/>
              <w:rPr>
                <w:rFonts w:ascii="Times New Roman" w:hAnsi="Times New Roman" w:cs="Times New Roman"/>
                <w:color w:val="000000" w:themeColor="text1"/>
                <w:sz w:val="20"/>
                <w:szCs w:val="20"/>
              </w:rPr>
            </w:pPr>
            <w:r w:rsidRPr="007A55A2">
              <w:rPr>
                <w:rFonts w:ascii="Times New Roman" w:hAnsi="Times New Roman" w:cs="Times New Roman"/>
                <w:color w:val="000000" w:themeColor="text1"/>
                <w:sz w:val="20"/>
                <w:szCs w:val="20"/>
              </w:rPr>
              <w:t>8,8</w:t>
            </w:r>
          </w:p>
        </w:tc>
        <w:tc>
          <w:tcPr>
            <w:tcW w:w="1136" w:type="dxa"/>
            <w:vAlign w:val="center"/>
          </w:tcPr>
          <w:p w14:paraId="460CF4F4" w14:textId="77777777" w:rsidR="007A53B2" w:rsidRPr="007A55A2" w:rsidRDefault="007A53B2" w:rsidP="008439F6">
            <w:pPr>
              <w:ind w:right="-7"/>
              <w:jc w:val="center"/>
              <w:rPr>
                <w:rFonts w:ascii="Times New Roman" w:hAnsi="Times New Roman" w:cs="Times New Roman"/>
                <w:b/>
                <w:bCs/>
                <w:color w:val="000000" w:themeColor="text1"/>
                <w:sz w:val="20"/>
                <w:szCs w:val="20"/>
              </w:rPr>
            </w:pPr>
            <w:r w:rsidRPr="007A55A2">
              <w:rPr>
                <w:rFonts w:ascii="Times New Roman" w:hAnsi="Times New Roman" w:cs="Times New Roman"/>
                <w:b/>
                <w:bCs/>
                <w:color w:val="000000" w:themeColor="text1"/>
                <w:sz w:val="20"/>
                <w:szCs w:val="20"/>
              </w:rPr>
              <w:t>9,7</w:t>
            </w:r>
          </w:p>
        </w:tc>
        <w:tc>
          <w:tcPr>
            <w:tcW w:w="1401" w:type="dxa"/>
            <w:vAlign w:val="center"/>
          </w:tcPr>
          <w:p w14:paraId="7A1E0E40" w14:textId="77777777" w:rsidR="007A53B2" w:rsidRPr="007A55A2" w:rsidRDefault="007A53B2" w:rsidP="008439F6">
            <w:pPr>
              <w:ind w:right="-7"/>
              <w:jc w:val="center"/>
              <w:rPr>
                <w:rFonts w:ascii="Times New Roman" w:hAnsi="Times New Roman" w:cs="Times New Roman"/>
                <w:color w:val="000000" w:themeColor="text1"/>
                <w:sz w:val="20"/>
                <w:szCs w:val="20"/>
              </w:rPr>
            </w:pPr>
            <w:r w:rsidRPr="007A55A2">
              <w:rPr>
                <w:rFonts w:ascii="Times New Roman" w:hAnsi="Times New Roman" w:cs="Times New Roman"/>
                <w:color w:val="000000" w:themeColor="text1"/>
                <w:sz w:val="20"/>
                <w:szCs w:val="20"/>
              </w:rPr>
              <w:t>-</w:t>
            </w:r>
          </w:p>
        </w:tc>
        <w:tc>
          <w:tcPr>
            <w:tcW w:w="1223" w:type="dxa"/>
            <w:vAlign w:val="center"/>
          </w:tcPr>
          <w:p w14:paraId="6E15B6BE" w14:textId="77777777" w:rsidR="007A53B2" w:rsidRPr="007A55A2" w:rsidRDefault="007A53B2" w:rsidP="008439F6">
            <w:pPr>
              <w:ind w:right="-7"/>
              <w:jc w:val="center"/>
              <w:rPr>
                <w:rFonts w:ascii="Times New Roman" w:hAnsi="Times New Roman" w:cs="Times New Roman"/>
                <w:color w:val="000000" w:themeColor="text1"/>
                <w:sz w:val="20"/>
                <w:szCs w:val="20"/>
              </w:rPr>
            </w:pPr>
            <w:r w:rsidRPr="007A55A2">
              <w:rPr>
                <w:rFonts w:ascii="Times New Roman" w:hAnsi="Times New Roman" w:cs="Times New Roman"/>
                <w:color w:val="000000" w:themeColor="text1"/>
                <w:sz w:val="20"/>
                <w:szCs w:val="20"/>
              </w:rPr>
              <w:t>11,4</w:t>
            </w:r>
          </w:p>
        </w:tc>
      </w:tr>
      <w:tr w:rsidR="007A55A2" w:rsidRPr="007A55A2" w14:paraId="6E909AFD" w14:textId="77777777" w:rsidTr="008439F6">
        <w:trPr>
          <w:cantSplit/>
        </w:trPr>
        <w:tc>
          <w:tcPr>
            <w:tcW w:w="1413" w:type="dxa"/>
          </w:tcPr>
          <w:p w14:paraId="5D928B57" w14:textId="67B7CEC1" w:rsidR="007A53B2" w:rsidRPr="007A55A2" w:rsidRDefault="007A53B2" w:rsidP="008439F6">
            <w:pPr>
              <w:ind w:right="-7"/>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 xml:space="preserve">FLPP </w:t>
            </w:r>
            <w:r w:rsidRPr="007A55A2">
              <w:rPr>
                <w:rFonts w:ascii="Times New Roman" w:hAnsi="Times New Roman" w:cs="Times New Roman"/>
                <w:color w:val="000000" w:themeColor="text1"/>
                <w:sz w:val="20"/>
                <w:szCs w:val="20"/>
                <w:lang w:val="lv-LV"/>
              </w:rPr>
              <w:br/>
              <w:t>2019/1**</w:t>
            </w:r>
          </w:p>
        </w:tc>
        <w:tc>
          <w:tcPr>
            <w:tcW w:w="1491" w:type="dxa"/>
          </w:tcPr>
          <w:p w14:paraId="59F861C5" w14:textId="77777777" w:rsidR="007A53B2" w:rsidRPr="007A55A2" w:rsidRDefault="007A53B2" w:rsidP="00A743DD">
            <w:pPr>
              <w:ind w:right="-7"/>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Nolikums</w:t>
            </w:r>
          </w:p>
        </w:tc>
        <w:tc>
          <w:tcPr>
            <w:tcW w:w="1261" w:type="dxa"/>
          </w:tcPr>
          <w:p w14:paraId="28CBA240" w14:textId="77777777" w:rsidR="007A53B2" w:rsidRPr="007A55A2" w:rsidRDefault="007A53B2" w:rsidP="008439F6">
            <w:pPr>
              <w:ind w:right="-7"/>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10% no tiešajām izmaksām</w:t>
            </w:r>
          </w:p>
        </w:tc>
        <w:tc>
          <w:tcPr>
            <w:tcW w:w="1136" w:type="dxa"/>
            <w:vAlign w:val="center"/>
          </w:tcPr>
          <w:p w14:paraId="271C495E" w14:textId="77777777" w:rsidR="007A53B2" w:rsidRPr="007A55A2" w:rsidRDefault="007A53B2" w:rsidP="008439F6">
            <w:pPr>
              <w:ind w:right="-7"/>
              <w:jc w:val="center"/>
              <w:rPr>
                <w:rFonts w:ascii="Times New Roman" w:hAnsi="Times New Roman" w:cs="Times New Roman"/>
                <w:color w:val="000000" w:themeColor="text1"/>
                <w:sz w:val="20"/>
                <w:szCs w:val="20"/>
              </w:rPr>
            </w:pPr>
            <w:r w:rsidRPr="007A55A2">
              <w:rPr>
                <w:rFonts w:ascii="Times New Roman" w:hAnsi="Times New Roman" w:cs="Times New Roman"/>
                <w:color w:val="000000" w:themeColor="text1"/>
                <w:sz w:val="20"/>
                <w:szCs w:val="20"/>
              </w:rPr>
              <w:t>9,0</w:t>
            </w:r>
          </w:p>
        </w:tc>
        <w:tc>
          <w:tcPr>
            <w:tcW w:w="1136" w:type="dxa"/>
            <w:vAlign w:val="center"/>
          </w:tcPr>
          <w:p w14:paraId="03376601" w14:textId="77777777" w:rsidR="007A53B2" w:rsidRPr="007A55A2" w:rsidRDefault="007A53B2" w:rsidP="008439F6">
            <w:pPr>
              <w:ind w:right="-7"/>
              <w:jc w:val="center"/>
              <w:rPr>
                <w:rFonts w:ascii="Times New Roman" w:hAnsi="Times New Roman" w:cs="Times New Roman"/>
                <w:b/>
                <w:bCs/>
                <w:color w:val="000000" w:themeColor="text1"/>
                <w:sz w:val="20"/>
                <w:szCs w:val="20"/>
              </w:rPr>
            </w:pPr>
            <w:r w:rsidRPr="007A55A2">
              <w:rPr>
                <w:rFonts w:ascii="Times New Roman" w:hAnsi="Times New Roman" w:cs="Times New Roman"/>
                <w:b/>
                <w:bCs/>
                <w:color w:val="000000" w:themeColor="text1"/>
                <w:sz w:val="20"/>
                <w:szCs w:val="20"/>
              </w:rPr>
              <w:t>9,9</w:t>
            </w:r>
          </w:p>
        </w:tc>
        <w:tc>
          <w:tcPr>
            <w:tcW w:w="1401" w:type="dxa"/>
            <w:vAlign w:val="center"/>
          </w:tcPr>
          <w:p w14:paraId="7F50F972" w14:textId="77777777" w:rsidR="007A53B2" w:rsidRPr="007A55A2" w:rsidRDefault="007A53B2" w:rsidP="008439F6">
            <w:pPr>
              <w:ind w:right="-7"/>
              <w:jc w:val="center"/>
              <w:rPr>
                <w:rFonts w:ascii="Times New Roman" w:hAnsi="Times New Roman" w:cs="Times New Roman"/>
                <w:color w:val="000000" w:themeColor="text1"/>
                <w:sz w:val="20"/>
                <w:szCs w:val="20"/>
              </w:rPr>
            </w:pPr>
            <w:r w:rsidRPr="007A55A2">
              <w:rPr>
                <w:rFonts w:ascii="Times New Roman" w:hAnsi="Times New Roman" w:cs="Times New Roman"/>
                <w:color w:val="000000" w:themeColor="text1"/>
                <w:sz w:val="20"/>
                <w:szCs w:val="20"/>
              </w:rPr>
              <w:t>-</w:t>
            </w:r>
          </w:p>
        </w:tc>
        <w:tc>
          <w:tcPr>
            <w:tcW w:w="1223" w:type="dxa"/>
            <w:vAlign w:val="center"/>
          </w:tcPr>
          <w:p w14:paraId="607E7663" w14:textId="77777777" w:rsidR="007A53B2" w:rsidRPr="007A55A2" w:rsidRDefault="007A53B2" w:rsidP="008439F6">
            <w:pPr>
              <w:ind w:right="-7"/>
              <w:jc w:val="center"/>
              <w:rPr>
                <w:rFonts w:ascii="Times New Roman" w:hAnsi="Times New Roman" w:cs="Times New Roman"/>
                <w:color w:val="000000" w:themeColor="text1"/>
                <w:sz w:val="20"/>
                <w:szCs w:val="20"/>
              </w:rPr>
            </w:pPr>
            <w:r w:rsidRPr="007A55A2">
              <w:rPr>
                <w:rFonts w:ascii="Times New Roman" w:hAnsi="Times New Roman" w:cs="Times New Roman"/>
                <w:color w:val="000000" w:themeColor="text1"/>
                <w:sz w:val="20"/>
                <w:szCs w:val="20"/>
              </w:rPr>
              <w:t>12,0</w:t>
            </w:r>
          </w:p>
        </w:tc>
      </w:tr>
      <w:tr w:rsidR="007A55A2" w:rsidRPr="007A55A2" w14:paraId="5BDB2ECD" w14:textId="77777777" w:rsidTr="008439F6">
        <w:trPr>
          <w:cantSplit/>
        </w:trPr>
        <w:tc>
          <w:tcPr>
            <w:tcW w:w="1413" w:type="dxa"/>
          </w:tcPr>
          <w:p w14:paraId="3C96D2BF" w14:textId="37B57981" w:rsidR="007A53B2" w:rsidRPr="007A55A2" w:rsidRDefault="007A53B2" w:rsidP="008439F6">
            <w:pPr>
              <w:ind w:right="-7"/>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 xml:space="preserve">FLPP </w:t>
            </w:r>
            <w:r w:rsidRPr="007A55A2">
              <w:rPr>
                <w:rFonts w:ascii="Times New Roman" w:hAnsi="Times New Roman" w:cs="Times New Roman"/>
                <w:color w:val="000000" w:themeColor="text1"/>
                <w:sz w:val="20"/>
                <w:szCs w:val="20"/>
                <w:lang w:val="lv-LV"/>
              </w:rPr>
              <w:br/>
            </w:r>
            <w:r w:rsidR="001012DF" w:rsidRPr="007A55A2">
              <w:rPr>
                <w:rFonts w:ascii="Times New Roman" w:hAnsi="Times New Roman" w:cs="Times New Roman"/>
                <w:color w:val="000000" w:themeColor="text1"/>
                <w:sz w:val="20"/>
                <w:szCs w:val="20"/>
                <w:lang w:val="lv-LV"/>
              </w:rPr>
              <w:t>2020</w:t>
            </w:r>
            <w:r w:rsidRPr="007A55A2">
              <w:rPr>
                <w:rFonts w:ascii="Times New Roman" w:hAnsi="Times New Roman" w:cs="Times New Roman"/>
                <w:color w:val="000000" w:themeColor="text1"/>
                <w:sz w:val="20"/>
                <w:szCs w:val="20"/>
                <w:lang w:val="lv-LV"/>
              </w:rPr>
              <w:t>/2**</w:t>
            </w:r>
          </w:p>
        </w:tc>
        <w:tc>
          <w:tcPr>
            <w:tcW w:w="1491" w:type="dxa"/>
          </w:tcPr>
          <w:p w14:paraId="011FC687" w14:textId="77777777" w:rsidR="007A53B2" w:rsidRPr="007A55A2" w:rsidRDefault="007A53B2" w:rsidP="00A743DD">
            <w:pPr>
              <w:ind w:right="-7"/>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Nolikums</w:t>
            </w:r>
          </w:p>
        </w:tc>
        <w:tc>
          <w:tcPr>
            <w:tcW w:w="1261" w:type="dxa"/>
          </w:tcPr>
          <w:p w14:paraId="3B0FD40D" w14:textId="77777777" w:rsidR="007A53B2" w:rsidRPr="007A55A2" w:rsidRDefault="007A53B2" w:rsidP="008439F6">
            <w:pPr>
              <w:ind w:right="-7"/>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20% no tiešajām izmaksām</w:t>
            </w:r>
          </w:p>
        </w:tc>
        <w:tc>
          <w:tcPr>
            <w:tcW w:w="1136" w:type="dxa"/>
            <w:vAlign w:val="center"/>
          </w:tcPr>
          <w:p w14:paraId="6946DA9A" w14:textId="77777777" w:rsidR="007A53B2" w:rsidRPr="007A55A2" w:rsidRDefault="007A53B2" w:rsidP="008439F6">
            <w:pPr>
              <w:ind w:right="-7"/>
              <w:jc w:val="center"/>
              <w:rPr>
                <w:rFonts w:ascii="Times New Roman" w:hAnsi="Times New Roman" w:cs="Times New Roman"/>
                <w:color w:val="000000" w:themeColor="text1"/>
                <w:sz w:val="20"/>
                <w:szCs w:val="20"/>
              </w:rPr>
            </w:pPr>
            <w:r w:rsidRPr="007A55A2">
              <w:rPr>
                <w:rFonts w:ascii="Times New Roman" w:hAnsi="Times New Roman" w:cs="Times New Roman"/>
                <w:color w:val="000000" w:themeColor="text1"/>
                <w:sz w:val="20"/>
                <w:szCs w:val="20"/>
              </w:rPr>
              <w:t>16,1</w:t>
            </w:r>
          </w:p>
        </w:tc>
        <w:tc>
          <w:tcPr>
            <w:tcW w:w="1136" w:type="dxa"/>
            <w:vAlign w:val="center"/>
          </w:tcPr>
          <w:p w14:paraId="5E3D301E" w14:textId="77777777" w:rsidR="007A53B2" w:rsidRPr="007A55A2" w:rsidRDefault="007A53B2" w:rsidP="008439F6">
            <w:pPr>
              <w:ind w:right="-7"/>
              <w:jc w:val="center"/>
              <w:rPr>
                <w:rFonts w:ascii="Times New Roman" w:hAnsi="Times New Roman" w:cs="Times New Roman"/>
                <w:b/>
                <w:bCs/>
                <w:color w:val="000000" w:themeColor="text1"/>
                <w:sz w:val="20"/>
                <w:szCs w:val="20"/>
              </w:rPr>
            </w:pPr>
            <w:r w:rsidRPr="007A55A2">
              <w:rPr>
                <w:rFonts w:ascii="Times New Roman" w:hAnsi="Times New Roman" w:cs="Times New Roman"/>
                <w:b/>
                <w:bCs/>
                <w:color w:val="000000" w:themeColor="text1"/>
                <w:sz w:val="20"/>
                <w:szCs w:val="20"/>
              </w:rPr>
              <w:t>19,1</w:t>
            </w:r>
          </w:p>
        </w:tc>
        <w:tc>
          <w:tcPr>
            <w:tcW w:w="1401" w:type="dxa"/>
            <w:vAlign w:val="center"/>
          </w:tcPr>
          <w:p w14:paraId="6C6BD77F" w14:textId="77777777" w:rsidR="007A53B2" w:rsidRPr="007A55A2" w:rsidRDefault="007A53B2" w:rsidP="008439F6">
            <w:pPr>
              <w:ind w:right="-7"/>
              <w:jc w:val="center"/>
              <w:rPr>
                <w:rFonts w:ascii="Times New Roman" w:hAnsi="Times New Roman" w:cs="Times New Roman"/>
                <w:color w:val="000000" w:themeColor="text1"/>
                <w:sz w:val="20"/>
                <w:szCs w:val="20"/>
              </w:rPr>
            </w:pPr>
            <w:r w:rsidRPr="007A55A2">
              <w:rPr>
                <w:rFonts w:ascii="Times New Roman" w:hAnsi="Times New Roman" w:cs="Times New Roman"/>
                <w:color w:val="000000" w:themeColor="text1"/>
                <w:sz w:val="20"/>
                <w:szCs w:val="20"/>
              </w:rPr>
              <w:t>-</w:t>
            </w:r>
          </w:p>
        </w:tc>
        <w:tc>
          <w:tcPr>
            <w:tcW w:w="1223" w:type="dxa"/>
            <w:vAlign w:val="center"/>
          </w:tcPr>
          <w:p w14:paraId="003712DC" w14:textId="77777777" w:rsidR="007A53B2" w:rsidRPr="007A55A2" w:rsidRDefault="007A53B2" w:rsidP="008439F6">
            <w:pPr>
              <w:ind w:right="-7"/>
              <w:jc w:val="center"/>
              <w:rPr>
                <w:rFonts w:ascii="Times New Roman" w:hAnsi="Times New Roman" w:cs="Times New Roman"/>
                <w:color w:val="000000" w:themeColor="text1"/>
                <w:sz w:val="20"/>
                <w:szCs w:val="20"/>
              </w:rPr>
            </w:pPr>
            <w:r w:rsidRPr="007A55A2">
              <w:rPr>
                <w:rFonts w:ascii="Times New Roman" w:hAnsi="Times New Roman" w:cs="Times New Roman"/>
                <w:color w:val="000000" w:themeColor="text1"/>
                <w:sz w:val="20"/>
                <w:szCs w:val="20"/>
              </w:rPr>
              <w:t>23,7</w:t>
            </w:r>
          </w:p>
        </w:tc>
      </w:tr>
      <w:tr w:rsidR="007A55A2" w:rsidRPr="007A55A2" w14:paraId="74EECF4C" w14:textId="77777777" w:rsidTr="008439F6">
        <w:trPr>
          <w:cantSplit/>
        </w:trPr>
        <w:tc>
          <w:tcPr>
            <w:tcW w:w="1413" w:type="dxa"/>
          </w:tcPr>
          <w:p w14:paraId="029F671D" w14:textId="53BB2AB3" w:rsidR="007A53B2" w:rsidRPr="007A55A2" w:rsidRDefault="007A53B2" w:rsidP="008439F6">
            <w:pPr>
              <w:ind w:right="-7"/>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 xml:space="preserve">FLPP </w:t>
            </w:r>
            <w:r w:rsidRPr="007A55A2">
              <w:rPr>
                <w:rFonts w:ascii="Times New Roman" w:hAnsi="Times New Roman" w:cs="Times New Roman"/>
                <w:color w:val="000000" w:themeColor="text1"/>
                <w:sz w:val="20"/>
                <w:szCs w:val="20"/>
                <w:lang w:val="lv-LV"/>
              </w:rPr>
              <w:br/>
              <w:t>2024/1*</w:t>
            </w:r>
          </w:p>
        </w:tc>
        <w:tc>
          <w:tcPr>
            <w:tcW w:w="1491" w:type="dxa"/>
          </w:tcPr>
          <w:p w14:paraId="38436FF8" w14:textId="0541BB95" w:rsidR="007A53B2" w:rsidRPr="007A55A2" w:rsidRDefault="007A53B2" w:rsidP="00A743DD">
            <w:pPr>
              <w:ind w:right="-7"/>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Nolikums</w:t>
            </w:r>
          </w:p>
        </w:tc>
        <w:tc>
          <w:tcPr>
            <w:tcW w:w="1261" w:type="dxa"/>
          </w:tcPr>
          <w:p w14:paraId="0E2B4BED" w14:textId="3201AC74" w:rsidR="007A53B2" w:rsidRPr="007A55A2" w:rsidRDefault="007A53B2" w:rsidP="008439F6">
            <w:pPr>
              <w:ind w:right="-7"/>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15% no zinātniskās grupas atlīdzības izmaksām</w:t>
            </w:r>
          </w:p>
        </w:tc>
        <w:tc>
          <w:tcPr>
            <w:tcW w:w="1136" w:type="dxa"/>
            <w:vAlign w:val="center"/>
          </w:tcPr>
          <w:p w14:paraId="2E0C6A83" w14:textId="3A88ED3A" w:rsidR="007A53B2" w:rsidRPr="007A55A2" w:rsidRDefault="007A53B2" w:rsidP="008439F6">
            <w:pPr>
              <w:ind w:right="-7"/>
              <w:jc w:val="cente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11,3</w:t>
            </w:r>
          </w:p>
        </w:tc>
        <w:tc>
          <w:tcPr>
            <w:tcW w:w="1136" w:type="dxa"/>
            <w:vAlign w:val="center"/>
          </w:tcPr>
          <w:p w14:paraId="2D5EEBE6" w14:textId="0306E4EC" w:rsidR="007A53B2" w:rsidRPr="007A55A2" w:rsidRDefault="007A53B2" w:rsidP="008439F6">
            <w:pPr>
              <w:ind w:right="-7"/>
              <w:jc w:val="cente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12,7</w:t>
            </w:r>
          </w:p>
        </w:tc>
        <w:tc>
          <w:tcPr>
            <w:tcW w:w="1401" w:type="dxa"/>
            <w:vAlign w:val="center"/>
          </w:tcPr>
          <w:p w14:paraId="2D8C94E5" w14:textId="41D427C7" w:rsidR="007A53B2" w:rsidRPr="007A55A2" w:rsidRDefault="007A53B2" w:rsidP="008439F6">
            <w:pPr>
              <w:ind w:right="-7"/>
              <w:jc w:val="cente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13,1</w:t>
            </w:r>
          </w:p>
        </w:tc>
        <w:tc>
          <w:tcPr>
            <w:tcW w:w="1223" w:type="dxa"/>
            <w:vAlign w:val="center"/>
          </w:tcPr>
          <w:p w14:paraId="0538F3D4" w14:textId="73A2A656" w:rsidR="007A53B2" w:rsidRPr="007A55A2" w:rsidRDefault="007A53B2" w:rsidP="008439F6">
            <w:pPr>
              <w:ind w:right="-7"/>
              <w:jc w:val="center"/>
              <w:rPr>
                <w:rFonts w:ascii="Times New Roman" w:hAnsi="Times New Roman" w:cs="Times New Roman"/>
                <w:b/>
                <w:bCs/>
                <w:color w:val="000000" w:themeColor="text1"/>
                <w:sz w:val="20"/>
                <w:szCs w:val="20"/>
                <w:lang w:val="lv-LV"/>
              </w:rPr>
            </w:pPr>
            <w:r w:rsidRPr="007A55A2">
              <w:rPr>
                <w:rFonts w:ascii="Times New Roman" w:hAnsi="Times New Roman" w:cs="Times New Roman"/>
                <w:b/>
                <w:bCs/>
                <w:color w:val="000000" w:themeColor="text1"/>
                <w:sz w:val="20"/>
                <w:szCs w:val="20"/>
                <w:lang w:val="lv-LV"/>
              </w:rPr>
              <w:t>15,0</w:t>
            </w:r>
          </w:p>
        </w:tc>
      </w:tr>
      <w:tr w:rsidR="007A55A2" w:rsidRPr="007A55A2" w14:paraId="17A85A6B" w14:textId="77777777" w:rsidTr="008439F6">
        <w:trPr>
          <w:cantSplit/>
        </w:trPr>
        <w:tc>
          <w:tcPr>
            <w:tcW w:w="1413" w:type="dxa"/>
          </w:tcPr>
          <w:p w14:paraId="408E1766" w14:textId="16A5FA8E" w:rsidR="00DE582B" w:rsidRPr="007A55A2" w:rsidRDefault="00DE582B" w:rsidP="00DE582B">
            <w:pPr>
              <w:ind w:right="-7"/>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 xml:space="preserve">FLPP </w:t>
            </w:r>
            <w:r w:rsidRPr="007A55A2">
              <w:rPr>
                <w:rFonts w:ascii="Times New Roman" w:hAnsi="Times New Roman" w:cs="Times New Roman"/>
                <w:color w:val="000000" w:themeColor="text1"/>
                <w:sz w:val="20"/>
                <w:szCs w:val="20"/>
                <w:lang w:val="lv-LV"/>
              </w:rPr>
              <w:br/>
              <w:t>202</w:t>
            </w:r>
            <w:r w:rsidR="00F14F1A" w:rsidRPr="007A55A2">
              <w:rPr>
                <w:rFonts w:ascii="Times New Roman" w:hAnsi="Times New Roman" w:cs="Times New Roman"/>
                <w:color w:val="000000" w:themeColor="text1"/>
                <w:sz w:val="20"/>
                <w:szCs w:val="20"/>
                <w:lang w:val="lv-LV"/>
              </w:rPr>
              <w:t>5</w:t>
            </w:r>
            <w:r w:rsidRPr="007A55A2">
              <w:rPr>
                <w:rFonts w:ascii="Times New Roman" w:hAnsi="Times New Roman" w:cs="Times New Roman"/>
                <w:color w:val="000000" w:themeColor="text1"/>
                <w:sz w:val="20"/>
                <w:szCs w:val="20"/>
                <w:lang w:val="lv-LV"/>
              </w:rPr>
              <w:t>/1*</w:t>
            </w:r>
          </w:p>
        </w:tc>
        <w:tc>
          <w:tcPr>
            <w:tcW w:w="1491" w:type="dxa"/>
          </w:tcPr>
          <w:p w14:paraId="262488FC" w14:textId="73D7B415" w:rsidR="00DE582B" w:rsidRPr="007A55A2" w:rsidRDefault="00DE582B" w:rsidP="00DE582B">
            <w:pPr>
              <w:ind w:right="-7"/>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Nolikums</w:t>
            </w:r>
          </w:p>
        </w:tc>
        <w:tc>
          <w:tcPr>
            <w:tcW w:w="1261" w:type="dxa"/>
          </w:tcPr>
          <w:p w14:paraId="62A7F8B9" w14:textId="352485B6" w:rsidR="00DE582B" w:rsidRPr="007A55A2" w:rsidRDefault="00DE582B" w:rsidP="00DE582B">
            <w:pPr>
              <w:ind w:right="-7"/>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15% no zinātniskās grupas atlīdzības izmaksām</w:t>
            </w:r>
          </w:p>
        </w:tc>
        <w:tc>
          <w:tcPr>
            <w:tcW w:w="1136" w:type="dxa"/>
            <w:vAlign w:val="center"/>
          </w:tcPr>
          <w:p w14:paraId="60FDAE7E" w14:textId="2AB966A4" w:rsidR="00DE582B" w:rsidRPr="007A55A2" w:rsidRDefault="00816C10" w:rsidP="00DE582B">
            <w:pPr>
              <w:ind w:right="-7"/>
              <w:jc w:val="cente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11,1</w:t>
            </w:r>
          </w:p>
        </w:tc>
        <w:tc>
          <w:tcPr>
            <w:tcW w:w="1136" w:type="dxa"/>
            <w:vAlign w:val="center"/>
          </w:tcPr>
          <w:p w14:paraId="7F1BF714" w14:textId="361BA99E" w:rsidR="00DE582B" w:rsidRPr="007A55A2" w:rsidRDefault="00A01EE4" w:rsidP="00DE582B">
            <w:pPr>
              <w:ind w:right="-7"/>
              <w:jc w:val="cente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12,5</w:t>
            </w:r>
          </w:p>
        </w:tc>
        <w:tc>
          <w:tcPr>
            <w:tcW w:w="1401" w:type="dxa"/>
            <w:vAlign w:val="center"/>
          </w:tcPr>
          <w:p w14:paraId="6EE2BC44" w14:textId="09868A89" w:rsidR="00DE582B" w:rsidRPr="007A55A2" w:rsidRDefault="00A01EE4" w:rsidP="00DE582B">
            <w:pPr>
              <w:ind w:right="-7"/>
              <w:jc w:val="center"/>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12,8</w:t>
            </w:r>
          </w:p>
        </w:tc>
        <w:tc>
          <w:tcPr>
            <w:tcW w:w="1223" w:type="dxa"/>
            <w:vAlign w:val="center"/>
          </w:tcPr>
          <w:p w14:paraId="0B5D5C3E" w14:textId="0A4BB3DE" w:rsidR="00DE582B" w:rsidRPr="007A55A2" w:rsidRDefault="00A01EE4" w:rsidP="00DE582B">
            <w:pPr>
              <w:ind w:right="-7"/>
              <w:jc w:val="center"/>
              <w:rPr>
                <w:rFonts w:ascii="Times New Roman" w:hAnsi="Times New Roman" w:cs="Times New Roman"/>
                <w:b/>
                <w:bCs/>
                <w:color w:val="000000" w:themeColor="text1"/>
                <w:sz w:val="20"/>
                <w:szCs w:val="20"/>
                <w:lang w:val="lv-LV"/>
              </w:rPr>
            </w:pPr>
            <w:r w:rsidRPr="007A55A2">
              <w:rPr>
                <w:rFonts w:ascii="Times New Roman" w:hAnsi="Times New Roman" w:cs="Times New Roman"/>
                <w:b/>
                <w:bCs/>
                <w:color w:val="000000" w:themeColor="text1"/>
                <w:sz w:val="20"/>
                <w:szCs w:val="20"/>
                <w:lang w:val="lv-LV"/>
              </w:rPr>
              <w:t>15,0</w:t>
            </w:r>
          </w:p>
        </w:tc>
      </w:tr>
    </w:tbl>
    <w:p w14:paraId="08939B29" w14:textId="77777777" w:rsidR="007A53B2" w:rsidRPr="007A55A2" w:rsidRDefault="007A53B2" w:rsidP="00A743DD">
      <w:pPr>
        <w:spacing w:after="0" w:line="240" w:lineRule="auto"/>
        <w:ind w:right="-6"/>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 skatītas plānotās netiešās izmaksas projektu iesniegumos, kuri ir apstiprināti finansēšanai;</w:t>
      </w:r>
    </w:p>
    <w:p w14:paraId="21B433CF" w14:textId="77777777" w:rsidR="007A53B2" w:rsidRPr="007A55A2" w:rsidRDefault="007A53B2" w:rsidP="00A743DD">
      <w:pPr>
        <w:spacing w:after="360" w:line="240" w:lineRule="auto"/>
        <w:ind w:right="-6"/>
        <w:jc w:val="both"/>
        <w:rPr>
          <w:rFonts w:ascii="Times New Roman" w:hAnsi="Times New Roman" w:cs="Times New Roman"/>
          <w:color w:val="000000" w:themeColor="text1"/>
          <w:sz w:val="20"/>
          <w:szCs w:val="20"/>
          <w:lang w:val="lv-LV"/>
        </w:rPr>
      </w:pPr>
      <w:r w:rsidRPr="007A55A2">
        <w:rPr>
          <w:rFonts w:ascii="Times New Roman" w:hAnsi="Times New Roman" w:cs="Times New Roman"/>
          <w:color w:val="000000" w:themeColor="text1"/>
          <w:sz w:val="20"/>
          <w:szCs w:val="20"/>
          <w:lang w:val="lv-LV"/>
        </w:rPr>
        <w:t>**skatītas netiešās izmaksas vidēji visos viena konkursa īstenotajos projektos.</w:t>
      </w:r>
    </w:p>
    <w:p w14:paraId="6A1690DD" w14:textId="1C39CA6A" w:rsidR="00E841EC" w:rsidRPr="007A55A2" w:rsidRDefault="00B757B2" w:rsidP="008439F6">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FLPP </w:t>
      </w:r>
      <w:r w:rsidR="005426FD" w:rsidRPr="007A55A2">
        <w:rPr>
          <w:rFonts w:ascii="Times New Roman" w:hAnsi="Times New Roman" w:cs="Times New Roman"/>
          <w:color w:val="000000" w:themeColor="text1"/>
          <w:lang w:val="lv-LV"/>
        </w:rPr>
        <w:t xml:space="preserve">konkursu un projektu īstenošanu kopš 2018. gada </w:t>
      </w:r>
      <w:r w:rsidR="00F9143B" w:rsidRPr="007A55A2">
        <w:rPr>
          <w:rFonts w:ascii="Times New Roman" w:hAnsi="Times New Roman" w:cs="Times New Roman"/>
          <w:color w:val="000000" w:themeColor="text1"/>
          <w:lang w:val="lv-LV"/>
        </w:rPr>
        <w:t>reglamentējošie M</w:t>
      </w:r>
      <w:r w:rsidR="00017FCD" w:rsidRPr="007A55A2">
        <w:rPr>
          <w:rFonts w:ascii="Times New Roman" w:hAnsi="Times New Roman" w:cs="Times New Roman"/>
          <w:color w:val="000000" w:themeColor="text1"/>
          <w:lang w:val="lv-LV"/>
        </w:rPr>
        <w:t xml:space="preserve">K </w:t>
      </w:r>
      <w:r w:rsidR="00F9143B" w:rsidRPr="007A55A2">
        <w:rPr>
          <w:rFonts w:ascii="Times New Roman" w:hAnsi="Times New Roman" w:cs="Times New Roman"/>
          <w:color w:val="000000" w:themeColor="text1"/>
          <w:lang w:val="lv-LV"/>
        </w:rPr>
        <w:t>kabineta noteikumi Nr. 725</w:t>
      </w:r>
      <w:r w:rsidR="00384054" w:rsidRPr="007A55A2">
        <w:rPr>
          <w:rStyle w:val="FootnoteReference"/>
          <w:rFonts w:ascii="Times New Roman" w:hAnsi="Times New Roman" w:cs="Times New Roman"/>
          <w:color w:val="000000" w:themeColor="text1"/>
          <w:lang w:val="lv-LV"/>
        </w:rPr>
        <w:footnoteReference w:id="6"/>
      </w:r>
      <w:r w:rsidR="00C35084" w:rsidRPr="007A55A2">
        <w:rPr>
          <w:rFonts w:ascii="Times New Roman" w:hAnsi="Times New Roman" w:cs="Times New Roman"/>
          <w:color w:val="000000" w:themeColor="text1"/>
          <w:lang w:val="lv-LV"/>
        </w:rPr>
        <w:t xml:space="preserve"> </w:t>
      </w:r>
      <w:r w:rsidR="001B0516" w:rsidRPr="007A55A2">
        <w:rPr>
          <w:rFonts w:ascii="Times New Roman" w:hAnsi="Times New Roman" w:cs="Times New Roman"/>
          <w:color w:val="000000" w:themeColor="text1"/>
          <w:lang w:val="lv-LV"/>
        </w:rPr>
        <w:t>nenosaka netiešo izmaksu likmes</w:t>
      </w:r>
      <w:r w:rsidR="007930B8" w:rsidRPr="007A55A2">
        <w:rPr>
          <w:rFonts w:ascii="Times New Roman" w:hAnsi="Times New Roman" w:cs="Times New Roman"/>
          <w:color w:val="000000" w:themeColor="text1"/>
          <w:lang w:val="lv-LV"/>
        </w:rPr>
        <w:t xml:space="preserve">. Netiešo </w:t>
      </w:r>
      <w:r w:rsidR="00090C55" w:rsidRPr="007A55A2">
        <w:rPr>
          <w:rFonts w:ascii="Times New Roman" w:hAnsi="Times New Roman" w:cs="Times New Roman"/>
          <w:color w:val="000000" w:themeColor="text1"/>
          <w:lang w:val="lv-LV"/>
        </w:rPr>
        <w:t>izmaksu</w:t>
      </w:r>
      <w:r w:rsidR="007930B8" w:rsidRPr="007A55A2">
        <w:rPr>
          <w:rFonts w:ascii="Times New Roman" w:hAnsi="Times New Roman" w:cs="Times New Roman"/>
          <w:color w:val="000000" w:themeColor="text1"/>
          <w:lang w:val="lv-LV"/>
        </w:rPr>
        <w:t xml:space="preserve"> likmes ir noteiktas FLPP konkursu nolikumos</w:t>
      </w:r>
      <w:r w:rsidR="0075421D" w:rsidRPr="007A55A2">
        <w:rPr>
          <w:rFonts w:ascii="Times New Roman" w:hAnsi="Times New Roman" w:cs="Times New Roman"/>
          <w:color w:val="000000" w:themeColor="text1"/>
          <w:lang w:val="lv-LV"/>
        </w:rPr>
        <w:t xml:space="preserve"> (pieejami padomes portālā</w:t>
      </w:r>
      <w:r w:rsidR="0075421D" w:rsidRPr="007A55A2">
        <w:rPr>
          <w:rStyle w:val="FootnoteReference"/>
          <w:rFonts w:ascii="Times New Roman" w:hAnsi="Times New Roman" w:cs="Times New Roman"/>
          <w:color w:val="000000" w:themeColor="text1"/>
          <w:lang w:val="lv-LV"/>
        </w:rPr>
        <w:footnoteReference w:id="7"/>
      </w:r>
      <w:r w:rsidR="0075421D" w:rsidRPr="007A55A2">
        <w:rPr>
          <w:rFonts w:ascii="Times New Roman" w:hAnsi="Times New Roman" w:cs="Times New Roman"/>
          <w:color w:val="000000" w:themeColor="text1"/>
          <w:lang w:val="lv-LV"/>
        </w:rPr>
        <w:t>, attiecīgi)</w:t>
      </w:r>
      <w:r w:rsidR="00E841EC" w:rsidRPr="007A55A2">
        <w:rPr>
          <w:rFonts w:ascii="Times New Roman" w:hAnsi="Times New Roman" w:cs="Times New Roman"/>
          <w:color w:val="000000" w:themeColor="text1"/>
          <w:lang w:val="lv-LV"/>
        </w:rPr>
        <w:t>.</w:t>
      </w:r>
    </w:p>
    <w:p w14:paraId="0CC0B7FB" w14:textId="0758276D" w:rsidR="005E1FFF" w:rsidRPr="007A55A2" w:rsidRDefault="00F178DA" w:rsidP="00EA211D">
      <w:pPr>
        <w:keepNext/>
        <w:keepLines/>
        <w:ind w:right="-6"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lastRenderedPageBreak/>
        <w:t>FLPP</w:t>
      </w:r>
      <w:r w:rsidRPr="007A55A2" w:rsidDel="00F178DA">
        <w:rPr>
          <w:rFonts w:ascii="Times New Roman" w:hAnsi="Times New Roman" w:cs="Times New Roman"/>
          <w:color w:val="000000" w:themeColor="text1"/>
          <w:lang w:val="lv-LV"/>
        </w:rPr>
        <w:t xml:space="preserve"> </w:t>
      </w:r>
      <w:r w:rsidR="00FF3F34" w:rsidRPr="007A55A2">
        <w:rPr>
          <w:rFonts w:ascii="Times New Roman" w:hAnsi="Times New Roman" w:cs="Times New Roman"/>
          <w:color w:val="000000" w:themeColor="text1"/>
          <w:lang w:val="lv-LV"/>
        </w:rPr>
        <w:t xml:space="preserve">2018/1 un </w:t>
      </w:r>
      <w:r w:rsidRPr="007A55A2">
        <w:rPr>
          <w:rFonts w:ascii="Times New Roman" w:hAnsi="Times New Roman" w:cs="Times New Roman"/>
          <w:color w:val="000000" w:themeColor="text1"/>
          <w:lang w:val="lv-LV"/>
        </w:rPr>
        <w:t>FLPP</w:t>
      </w:r>
      <w:r w:rsidRPr="007A55A2" w:rsidDel="00F178DA">
        <w:rPr>
          <w:rFonts w:ascii="Times New Roman" w:hAnsi="Times New Roman" w:cs="Times New Roman"/>
          <w:color w:val="000000" w:themeColor="text1"/>
          <w:lang w:val="lv-LV"/>
        </w:rPr>
        <w:t xml:space="preserve"> </w:t>
      </w:r>
      <w:r w:rsidR="00FF3F34" w:rsidRPr="007A55A2">
        <w:rPr>
          <w:rFonts w:ascii="Times New Roman" w:hAnsi="Times New Roman" w:cs="Times New Roman"/>
          <w:color w:val="000000" w:themeColor="text1"/>
          <w:lang w:val="lv-LV"/>
        </w:rPr>
        <w:t>2028/2 konkursu nolikumi paredz</w:t>
      </w:r>
      <w:r w:rsidR="00F407B1" w:rsidRPr="007A55A2">
        <w:rPr>
          <w:rFonts w:ascii="Times New Roman" w:hAnsi="Times New Roman" w:cs="Times New Roman"/>
          <w:color w:val="000000" w:themeColor="text1"/>
          <w:lang w:val="lv-LV"/>
        </w:rPr>
        <w:t xml:space="preserve"> </w:t>
      </w:r>
      <w:r w:rsidR="003F7D9E" w:rsidRPr="007A55A2">
        <w:rPr>
          <w:rFonts w:ascii="Times New Roman" w:hAnsi="Times New Roman" w:cs="Times New Roman"/>
          <w:color w:val="000000" w:themeColor="text1"/>
          <w:lang w:val="lv-LV"/>
        </w:rPr>
        <w:t>netiešās izmaks</w:t>
      </w:r>
      <w:r w:rsidR="00F463E9" w:rsidRPr="007A55A2">
        <w:rPr>
          <w:rFonts w:ascii="Times New Roman" w:hAnsi="Times New Roman" w:cs="Times New Roman"/>
          <w:color w:val="000000" w:themeColor="text1"/>
          <w:lang w:val="lv-LV"/>
        </w:rPr>
        <w:t>u augšējo robežu</w:t>
      </w:r>
      <w:r w:rsidR="00D84B2C" w:rsidRPr="007A55A2">
        <w:rPr>
          <w:rFonts w:ascii="Times New Roman" w:hAnsi="Times New Roman" w:cs="Times New Roman"/>
          <w:color w:val="000000" w:themeColor="text1"/>
          <w:lang w:val="lv-LV"/>
        </w:rPr>
        <w:t xml:space="preserve">, saistot to ar visām </w:t>
      </w:r>
      <w:r w:rsidR="00E841EC" w:rsidRPr="007A55A2">
        <w:rPr>
          <w:rFonts w:ascii="Times New Roman" w:hAnsi="Times New Roman" w:cs="Times New Roman"/>
          <w:color w:val="000000" w:themeColor="text1"/>
          <w:lang w:val="lv-LV"/>
        </w:rPr>
        <w:t>tiešajām izmaksām:</w:t>
      </w:r>
    </w:p>
    <w:p w14:paraId="65A0EEED" w14:textId="5BED2F6D" w:rsidR="005E1FFF" w:rsidRPr="007A55A2" w:rsidRDefault="00F407B1" w:rsidP="008439F6">
      <w:pPr>
        <w:ind w:left="851"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w:t>
      </w:r>
      <w:r w:rsidR="003F7D9E" w:rsidRPr="007A55A2">
        <w:rPr>
          <w:rFonts w:ascii="Times New Roman" w:hAnsi="Times New Roman" w:cs="Times New Roman"/>
          <w:color w:val="000000" w:themeColor="text1"/>
          <w:lang w:val="lv-LV"/>
        </w:rPr>
        <w:t>…</w:t>
      </w:r>
      <w:r w:rsidRPr="007A55A2">
        <w:rPr>
          <w:rFonts w:ascii="Times New Roman" w:hAnsi="Times New Roman" w:cs="Times New Roman"/>
          <w:color w:val="000000" w:themeColor="text1"/>
          <w:lang w:val="lv-LV"/>
        </w:rPr>
        <w:t xml:space="preserve"> </w:t>
      </w:r>
      <w:r w:rsidRPr="007A55A2">
        <w:rPr>
          <w:rFonts w:ascii="Times New Roman" w:hAnsi="Times New Roman" w:cs="Times New Roman"/>
          <w:i/>
          <w:iCs/>
          <w:color w:val="000000" w:themeColor="text1"/>
          <w:lang w:val="lv-LV"/>
        </w:rPr>
        <w:t>līdz desmit procenti no tiešo attiecināmo izmaksu kopsummas</w:t>
      </w:r>
      <w:r w:rsidRPr="007A55A2">
        <w:rPr>
          <w:rFonts w:ascii="Times New Roman" w:hAnsi="Times New Roman" w:cs="Times New Roman"/>
          <w:color w:val="000000" w:themeColor="text1"/>
          <w:lang w:val="lv-LV"/>
        </w:rPr>
        <w:t>.</w:t>
      </w:r>
      <w:r w:rsidR="00300234" w:rsidRPr="007A55A2">
        <w:rPr>
          <w:rFonts w:ascii="Times New Roman" w:hAnsi="Times New Roman" w:cs="Times New Roman"/>
          <w:color w:val="000000" w:themeColor="text1"/>
          <w:lang w:val="lv-LV"/>
        </w:rPr>
        <w:t xml:space="preserve"> </w:t>
      </w:r>
      <w:r w:rsidRPr="007A55A2">
        <w:rPr>
          <w:rFonts w:ascii="Times New Roman" w:hAnsi="Times New Roman" w:cs="Times New Roman"/>
          <w:color w:val="000000" w:themeColor="text1"/>
          <w:lang w:val="lv-LV"/>
        </w:rPr>
        <w:t>...</w:t>
      </w:r>
      <w:r w:rsidR="00DD0C46" w:rsidRPr="007A55A2">
        <w:rPr>
          <w:rFonts w:ascii="Times New Roman" w:hAnsi="Times New Roman" w:cs="Times New Roman"/>
          <w:color w:val="000000" w:themeColor="text1"/>
          <w:lang w:val="lv-LV"/>
        </w:rPr>
        <w:t>” (</w:t>
      </w:r>
      <w:r w:rsidR="00F178DA" w:rsidRPr="007A55A2">
        <w:rPr>
          <w:rFonts w:ascii="Times New Roman" w:hAnsi="Times New Roman" w:cs="Times New Roman"/>
          <w:color w:val="000000" w:themeColor="text1"/>
          <w:lang w:val="lv-LV"/>
        </w:rPr>
        <w:t>FLPP</w:t>
      </w:r>
      <w:r w:rsidR="00F178DA" w:rsidRPr="007A55A2" w:rsidDel="00F178DA">
        <w:rPr>
          <w:rFonts w:ascii="Times New Roman" w:hAnsi="Times New Roman" w:cs="Times New Roman"/>
          <w:color w:val="000000" w:themeColor="text1"/>
          <w:lang w:val="lv-LV"/>
        </w:rPr>
        <w:t xml:space="preserve"> </w:t>
      </w:r>
      <w:r w:rsidR="00DE2A4A" w:rsidRPr="007A55A2">
        <w:rPr>
          <w:rFonts w:ascii="Times New Roman" w:hAnsi="Times New Roman" w:cs="Times New Roman"/>
          <w:color w:val="000000" w:themeColor="text1"/>
          <w:lang w:val="lv-LV"/>
        </w:rPr>
        <w:t>2018/1 nolikums</w:t>
      </w:r>
      <w:r w:rsidR="00F73DBF" w:rsidRPr="007A55A2">
        <w:rPr>
          <w:rFonts w:ascii="Times New Roman" w:hAnsi="Times New Roman" w:cs="Times New Roman"/>
          <w:color w:val="000000" w:themeColor="text1"/>
          <w:lang w:val="lv-LV"/>
        </w:rPr>
        <w:t>,</w:t>
      </w:r>
      <w:r w:rsidR="004F012D" w:rsidRPr="007A55A2">
        <w:rPr>
          <w:rFonts w:ascii="Times New Roman" w:hAnsi="Times New Roman" w:cs="Times New Roman"/>
          <w:color w:val="000000" w:themeColor="text1"/>
          <w:lang w:val="lv-LV"/>
        </w:rPr>
        <w:t>20.2. punkts)</w:t>
      </w:r>
      <w:r w:rsidR="009A20B1" w:rsidRPr="007A55A2">
        <w:rPr>
          <w:rFonts w:ascii="Times New Roman" w:hAnsi="Times New Roman" w:cs="Times New Roman"/>
          <w:color w:val="000000" w:themeColor="text1"/>
          <w:lang w:val="lv-LV"/>
        </w:rPr>
        <w:t>.</w:t>
      </w:r>
    </w:p>
    <w:p w14:paraId="6BEBDDB2" w14:textId="55DB4E55" w:rsidR="00DE2A4A" w:rsidRPr="007A55A2" w:rsidRDefault="00F178DA" w:rsidP="008439F6">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FLPP</w:t>
      </w:r>
      <w:r w:rsidRPr="007A55A2" w:rsidDel="00F178DA">
        <w:rPr>
          <w:rFonts w:ascii="Times New Roman" w:hAnsi="Times New Roman" w:cs="Times New Roman"/>
          <w:color w:val="000000" w:themeColor="text1"/>
          <w:lang w:val="lv-LV"/>
        </w:rPr>
        <w:t xml:space="preserve"> </w:t>
      </w:r>
      <w:r w:rsidR="000D3F3D" w:rsidRPr="007A55A2">
        <w:rPr>
          <w:rFonts w:ascii="Times New Roman" w:hAnsi="Times New Roman" w:cs="Times New Roman"/>
          <w:color w:val="000000" w:themeColor="text1"/>
          <w:lang w:val="lv-LV"/>
        </w:rPr>
        <w:t xml:space="preserve">2019/1, </w:t>
      </w:r>
      <w:r w:rsidRPr="007A55A2">
        <w:rPr>
          <w:rFonts w:ascii="Times New Roman" w:hAnsi="Times New Roman" w:cs="Times New Roman"/>
          <w:color w:val="000000" w:themeColor="text1"/>
          <w:lang w:val="lv-LV"/>
        </w:rPr>
        <w:t>FLPP</w:t>
      </w:r>
      <w:r w:rsidRPr="007A55A2" w:rsidDel="00F178DA">
        <w:rPr>
          <w:rFonts w:ascii="Times New Roman" w:hAnsi="Times New Roman" w:cs="Times New Roman"/>
          <w:color w:val="000000" w:themeColor="text1"/>
          <w:lang w:val="lv-LV"/>
        </w:rPr>
        <w:t xml:space="preserve"> </w:t>
      </w:r>
      <w:r w:rsidR="000D3F3D" w:rsidRPr="007A55A2">
        <w:rPr>
          <w:rFonts w:ascii="Times New Roman" w:hAnsi="Times New Roman" w:cs="Times New Roman"/>
          <w:color w:val="000000" w:themeColor="text1"/>
          <w:lang w:val="lv-LV"/>
        </w:rPr>
        <w:t xml:space="preserve">2020/1 un </w:t>
      </w:r>
      <w:r w:rsidRPr="007A55A2">
        <w:rPr>
          <w:rFonts w:ascii="Times New Roman" w:hAnsi="Times New Roman" w:cs="Times New Roman"/>
          <w:color w:val="000000" w:themeColor="text1"/>
          <w:lang w:val="lv-LV"/>
        </w:rPr>
        <w:t>FLPP</w:t>
      </w:r>
      <w:r w:rsidRPr="007A55A2" w:rsidDel="00F178DA">
        <w:rPr>
          <w:rFonts w:ascii="Times New Roman" w:hAnsi="Times New Roman" w:cs="Times New Roman"/>
          <w:color w:val="000000" w:themeColor="text1"/>
          <w:lang w:val="lv-LV"/>
        </w:rPr>
        <w:t xml:space="preserve"> </w:t>
      </w:r>
      <w:r w:rsidR="000D3F3D" w:rsidRPr="007A55A2">
        <w:rPr>
          <w:rFonts w:ascii="Times New Roman" w:hAnsi="Times New Roman" w:cs="Times New Roman"/>
          <w:color w:val="000000" w:themeColor="text1"/>
          <w:lang w:val="lv-LV"/>
        </w:rPr>
        <w:t xml:space="preserve">2021/1 </w:t>
      </w:r>
      <w:r w:rsidR="0029028D" w:rsidRPr="007A55A2">
        <w:rPr>
          <w:rFonts w:ascii="Times New Roman" w:hAnsi="Times New Roman" w:cs="Times New Roman"/>
          <w:color w:val="000000" w:themeColor="text1"/>
          <w:lang w:val="lv-LV"/>
        </w:rPr>
        <w:t xml:space="preserve">nolikumi </w:t>
      </w:r>
      <w:r w:rsidR="000D3F3D" w:rsidRPr="007A55A2">
        <w:rPr>
          <w:rFonts w:ascii="Times New Roman" w:hAnsi="Times New Roman" w:cs="Times New Roman"/>
          <w:color w:val="000000" w:themeColor="text1"/>
          <w:lang w:val="lv-LV"/>
        </w:rPr>
        <w:t xml:space="preserve">jau nosaka </w:t>
      </w:r>
      <w:r w:rsidR="006965C6" w:rsidRPr="007A55A2">
        <w:rPr>
          <w:rFonts w:ascii="Times New Roman" w:hAnsi="Times New Roman" w:cs="Times New Roman"/>
          <w:color w:val="000000" w:themeColor="text1"/>
          <w:lang w:val="lv-LV"/>
        </w:rPr>
        <w:t xml:space="preserve">vienotu </w:t>
      </w:r>
      <w:r w:rsidR="000D3F3D" w:rsidRPr="007A55A2">
        <w:rPr>
          <w:rFonts w:ascii="Times New Roman" w:hAnsi="Times New Roman" w:cs="Times New Roman"/>
          <w:color w:val="000000" w:themeColor="text1"/>
          <w:lang w:val="lv-LV"/>
        </w:rPr>
        <w:t xml:space="preserve">likmi, </w:t>
      </w:r>
      <w:r w:rsidR="003E135E" w:rsidRPr="007A55A2">
        <w:rPr>
          <w:rFonts w:ascii="Times New Roman" w:hAnsi="Times New Roman" w:cs="Times New Roman"/>
          <w:color w:val="000000" w:themeColor="text1"/>
          <w:lang w:val="lv-LV"/>
        </w:rPr>
        <w:t xml:space="preserve">arī </w:t>
      </w:r>
      <w:r w:rsidR="00B326D6" w:rsidRPr="007A55A2">
        <w:rPr>
          <w:rFonts w:ascii="Times New Roman" w:hAnsi="Times New Roman" w:cs="Times New Roman"/>
          <w:color w:val="000000" w:themeColor="text1"/>
          <w:lang w:val="lv-LV"/>
        </w:rPr>
        <w:t>saistot to ar</w:t>
      </w:r>
      <w:r w:rsidR="003E135E" w:rsidRPr="007A55A2">
        <w:rPr>
          <w:rFonts w:ascii="Times New Roman" w:hAnsi="Times New Roman" w:cs="Times New Roman"/>
          <w:color w:val="000000" w:themeColor="text1"/>
          <w:lang w:val="lv-LV"/>
        </w:rPr>
        <w:t xml:space="preserve"> visu </w:t>
      </w:r>
      <w:r w:rsidR="006965C6" w:rsidRPr="007A55A2">
        <w:rPr>
          <w:rFonts w:ascii="Times New Roman" w:hAnsi="Times New Roman" w:cs="Times New Roman"/>
          <w:color w:val="000000" w:themeColor="text1"/>
          <w:lang w:val="lv-LV"/>
        </w:rPr>
        <w:t>tiešo izmaksu kopsummu</w:t>
      </w:r>
      <w:r w:rsidR="00F73DBF" w:rsidRPr="007A55A2">
        <w:rPr>
          <w:rFonts w:ascii="Times New Roman" w:hAnsi="Times New Roman" w:cs="Times New Roman"/>
          <w:color w:val="000000" w:themeColor="text1"/>
          <w:lang w:val="lv-LV"/>
        </w:rPr>
        <w:t>:</w:t>
      </w:r>
    </w:p>
    <w:p w14:paraId="14CA9AD4" w14:textId="5958EA78" w:rsidR="00F73DBF" w:rsidRPr="007A55A2" w:rsidRDefault="00B326D6" w:rsidP="008439F6">
      <w:pPr>
        <w:ind w:left="851"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w:t>
      </w:r>
      <w:r w:rsidRPr="007A55A2">
        <w:rPr>
          <w:rFonts w:ascii="Times New Roman" w:hAnsi="Times New Roman" w:cs="Times New Roman"/>
          <w:i/>
          <w:iCs/>
          <w:color w:val="000000" w:themeColor="text1"/>
          <w:lang w:val="lv-LV"/>
        </w:rPr>
        <w:t xml:space="preserve">vienoto likmi 10 procentu apmērā no </w:t>
      </w:r>
      <w:r w:rsidR="00D84B2C" w:rsidRPr="007A55A2">
        <w:rPr>
          <w:rFonts w:ascii="Times New Roman" w:hAnsi="Times New Roman" w:cs="Times New Roman"/>
          <w:i/>
          <w:iCs/>
          <w:color w:val="000000" w:themeColor="text1"/>
          <w:lang w:val="lv-LV"/>
        </w:rPr>
        <w:t xml:space="preserve">… </w:t>
      </w:r>
      <w:r w:rsidRPr="007A55A2">
        <w:rPr>
          <w:rFonts w:ascii="Times New Roman" w:hAnsi="Times New Roman" w:cs="Times New Roman"/>
          <w:i/>
          <w:iCs/>
          <w:color w:val="000000" w:themeColor="text1"/>
          <w:lang w:val="lv-LV"/>
        </w:rPr>
        <w:t>tiešo attiecināmo izmaksu kopsummas</w:t>
      </w:r>
      <w:r w:rsidRPr="007A55A2">
        <w:rPr>
          <w:rFonts w:ascii="Times New Roman" w:hAnsi="Times New Roman" w:cs="Times New Roman"/>
          <w:color w:val="000000" w:themeColor="text1"/>
          <w:lang w:val="lv-LV"/>
        </w:rPr>
        <w:t>;</w:t>
      </w:r>
      <w:r w:rsidR="00F84746" w:rsidRPr="007A55A2">
        <w:rPr>
          <w:rFonts w:ascii="Times New Roman" w:hAnsi="Times New Roman" w:cs="Times New Roman"/>
          <w:color w:val="000000" w:themeColor="text1"/>
          <w:lang w:val="lv-LV"/>
        </w:rPr>
        <w:t>…</w:t>
      </w:r>
      <w:r w:rsidRPr="007A55A2">
        <w:rPr>
          <w:rFonts w:ascii="Times New Roman" w:hAnsi="Times New Roman" w:cs="Times New Roman"/>
          <w:color w:val="000000" w:themeColor="text1"/>
          <w:lang w:val="lv-LV"/>
        </w:rPr>
        <w:t>”</w:t>
      </w:r>
      <w:r w:rsidR="00F84746" w:rsidRPr="007A55A2">
        <w:rPr>
          <w:rFonts w:ascii="Times New Roman" w:hAnsi="Times New Roman" w:cs="Times New Roman"/>
          <w:color w:val="000000" w:themeColor="text1"/>
          <w:lang w:val="lv-LV"/>
        </w:rPr>
        <w:t xml:space="preserve">. </w:t>
      </w:r>
      <w:r w:rsidR="00F73DBF" w:rsidRPr="007A55A2">
        <w:rPr>
          <w:rFonts w:ascii="Times New Roman" w:hAnsi="Times New Roman" w:cs="Times New Roman"/>
          <w:color w:val="000000" w:themeColor="text1"/>
          <w:lang w:val="lv-LV"/>
        </w:rPr>
        <w:t>(</w:t>
      </w:r>
      <w:r w:rsidR="00F178DA" w:rsidRPr="007A55A2">
        <w:rPr>
          <w:rFonts w:ascii="Times New Roman" w:hAnsi="Times New Roman" w:cs="Times New Roman"/>
          <w:color w:val="000000" w:themeColor="text1"/>
          <w:lang w:val="lv-LV"/>
        </w:rPr>
        <w:t>FLPP</w:t>
      </w:r>
      <w:r w:rsidR="00F178DA" w:rsidRPr="007A55A2" w:rsidDel="00F178DA">
        <w:rPr>
          <w:rFonts w:ascii="Times New Roman" w:hAnsi="Times New Roman" w:cs="Times New Roman"/>
          <w:color w:val="000000" w:themeColor="text1"/>
          <w:lang w:val="lv-LV"/>
        </w:rPr>
        <w:t xml:space="preserve"> </w:t>
      </w:r>
      <w:r w:rsidR="00AF0604" w:rsidRPr="007A55A2">
        <w:rPr>
          <w:rFonts w:ascii="Times New Roman" w:hAnsi="Times New Roman" w:cs="Times New Roman"/>
          <w:color w:val="000000" w:themeColor="text1"/>
          <w:lang w:val="lv-LV"/>
        </w:rPr>
        <w:t xml:space="preserve">2019/1 nolikums, </w:t>
      </w:r>
      <w:r w:rsidR="00F73DBF" w:rsidRPr="007A55A2">
        <w:rPr>
          <w:rFonts w:ascii="Times New Roman" w:hAnsi="Times New Roman" w:cs="Times New Roman"/>
          <w:color w:val="000000" w:themeColor="text1"/>
          <w:lang w:val="lv-LV"/>
        </w:rPr>
        <w:t>22.2. punkts)</w:t>
      </w:r>
      <w:r w:rsidR="00AF0604" w:rsidRPr="007A55A2">
        <w:rPr>
          <w:rFonts w:ascii="Times New Roman" w:hAnsi="Times New Roman" w:cs="Times New Roman"/>
          <w:color w:val="000000" w:themeColor="text1"/>
          <w:lang w:val="lv-LV"/>
        </w:rPr>
        <w:t>.</w:t>
      </w:r>
    </w:p>
    <w:p w14:paraId="7DCF7310" w14:textId="4327E465" w:rsidR="0069759A" w:rsidRPr="007A55A2" w:rsidRDefault="00F178DA" w:rsidP="008439F6">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FLPP</w:t>
      </w:r>
      <w:r w:rsidRPr="007A55A2" w:rsidDel="00F178DA">
        <w:rPr>
          <w:rFonts w:ascii="Times New Roman" w:hAnsi="Times New Roman" w:cs="Times New Roman"/>
          <w:color w:val="000000" w:themeColor="text1"/>
          <w:lang w:val="lv-LV"/>
        </w:rPr>
        <w:t xml:space="preserve"> </w:t>
      </w:r>
      <w:r w:rsidR="003E135E" w:rsidRPr="007A55A2">
        <w:rPr>
          <w:rFonts w:ascii="Times New Roman" w:hAnsi="Times New Roman" w:cs="Times New Roman"/>
          <w:color w:val="000000" w:themeColor="text1"/>
          <w:lang w:val="lv-LV"/>
        </w:rPr>
        <w:t>2020/2 zinātnieku individuālo projektu iesniegumu konkursa nolikumā tika noteikta a</w:t>
      </w:r>
      <w:r w:rsidR="00725DD9" w:rsidRPr="007A55A2">
        <w:rPr>
          <w:rFonts w:ascii="Times New Roman" w:hAnsi="Times New Roman" w:cs="Times New Roman"/>
          <w:color w:val="000000" w:themeColor="text1"/>
          <w:lang w:val="lv-LV"/>
        </w:rPr>
        <w:t>tšķirīg</w:t>
      </w:r>
      <w:r w:rsidR="00D226AC" w:rsidRPr="007A55A2">
        <w:rPr>
          <w:rFonts w:ascii="Times New Roman" w:hAnsi="Times New Roman" w:cs="Times New Roman"/>
          <w:color w:val="000000" w:themeColor="text1"/>
          <w:lang w:val="lv-LV"/>
        </w:rPr>
        <w:t xml:space="preserve">a un augstāka </w:t>
      </w:r>
      <w:r w:rsidR="007601D2" w:rsidRPr="007A55A2">
        <w:rPr>
          <w:rFonts w:ascii="Times New Roman" w:hAnsi="Times New Roman" w:cs="Times New Roman"/>
          <w:color w:val="000000" w:themeColor="text1"/>
          <w:lang w:val="lv-LV"/>
        </w:rPr>
        <w:t>netiešo izmaksu likme</w:t>
      </w:r>
      <w:r w:rsidR="00B976D6" w:rsidRPr="007A55A2">
        <w:rPr>
          <w:rFonts w:ascii="Times New Roman" w:hAnsi="Times New Roman" w:cs="Times New Roman"/>
          <w:color w:val="000000" w:themeColor="text1"/>
          <w:lang w:val="lv-LV"/>
        </w:rPr>
        <w:t>,</w:t>
      </w:r>
      <w:r w:rsidR="007601D2" w:rsidRPr="007A55A2">
        <w:rPr>
          <w:rFonts w:ascii="Times New Roman" w:hAnsi="Times New Roman" w:cs="Times New Roman"/>
          <w:color w:val="000000" w:themeColor="text1"/>
          <w:lang w:val="lv-LV"/>
        </w:rPr>
        <w:t xml:space="preserve"> </w:t>
      </w:r>
      <w:r w:rsidR="009A2302" w:rsidRPr="007A55A2">
        <w:rPr>
          <w:rFonts w:ascii="Times New Roman" w:hAnsi="Times New Roman" w:cs="Times New Roman"/>
          <w:color w:val="000000" w:themeColor="text1"/>
          <w:lang w:val="lv-LV"/>
        </w:rPr>
        <w:t>joprojām to sai</w:t>
      </w:r>
      <w:r w:rsidR="00604A93" w:rsidRPr="007A55A2">
        <w:rPr>
          <w:rFonts w:ascii="Times New Roman" w:hAnsi="Times New Roman" w:cs="Times New Roman"/>
          <w:color w:val="000000" w:themeColor="text1"/>
          <w:lang w:val="lv-LV"/>
        </w:rPr>
        <w:t>s</w:t>
      </w:r>
      <w:r w:rsidR="009A2302" w:rsidRPr="007A55A2">
        <w:rPr>
          <w:rFonts w:ascii="Times New Roman" w:hAnsi="Times New Roman" w:cs="Times New Roman"/>
          <w:color w:val="000000" w:themeColor="text1"/>
          <w:lang w:val="lv-LV"/>
        </w:rPr>
        <w:t xml:space="preserve">tot </w:t>
      </w:r>
      <w:r w:rsidR="00604A93" w:rsidRPr="007A55A2">
        <w:rPr>
          <w:rFonts w:ascii="Times New Roman" w:hAnsi="Times New Roman" w:cs="Times New Roman"/>
          <w:color w:val="000000" w:themeColor="text1"/>
          <w:lang w:val="lv-LV"/>
        </w:rPr>
        <w:t>ar</w:t>
      </w:r>
      <w:r w:rsidR="00725DD9" w:rsidRPr="007A55A2">
        <w:rPr>
          <w:rFonts w:ascii="Times New Roman" w:hAnsi="Times New Roman" w:cs="Times New Roman"/>
          <w:color w:val="000000" w:themeColor="text1"/>
          <w:lang w:val="lv-LV"/>
        </w:rPr>
        <w:t xml:space="preserve"> </w:t>
      </w:r>
      <w:r w:rsidR="00604A93" w:rsidRPr="007A55A2">
        <w:rPr>
          <w:rFonts w:ascii="Times New Roman" w:hAnsi="Times New Roman" w:cs="Times New Roman"/>
          <w:color w:val="000000" w:themeColor="text1"/>
          <w:lang w:val="lv-LV"/>
        </w:rPr>
        <w:t>visu tiešo izmaksu kopsummu:</w:t>
      </w:r>
    </w:p>
    <w:p w14:paraId="75A8C32A" w14:textId="5241166D" w:rsidR="0069759A" w:rsidRPr="007A55A2" w:rsidRDefault="007601D2" w:rsidP="008439F6">
      <w:pPr>
        <w:ind w:left="851"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w:t>
      </w:r>
      <w:r w:rsidR="006E5CFC" w:rsidRPr="007A55A2">
        <w:rPr>
          <w:rFonts w:ascii="Times New Roman" w:hAnsi="Times New Roman" w:cs="Times New Roman"/>
          <w:color w:val="000000" w:themeColor="text1"/>
          <w:lang w:val="lv-LV"/>
        </w:rPr>
        <w:t>..</w:t>
      </w:r>
      <w:r w:rsidRPr="007A55A2">
        <w:rPr>
          <w:rFonts w:ascii="Times New Roman" w:hAnsi="Times New Roman" w:cs="Times New Roman"/>
          <w:color w:val="000000" w:themeColor="text1"/>
          <w:lang w:val="lv-LV"/>
        </w:rPr>
        <w:t>.</w:t>
      </w:r>
      <w:r w:rsidRPr="007A55A2">
        <w:rPr>
          <w:rFonts w:ascii="Times New Roman" w:hAnsi="Times New Roman" w:cs="Times New Roman"/>
          <w:i/>
          <w:iCs/>
          <w:color w:val="000000" w:themeColor="text1"/>
          <w:lang w:val="lv-LV"/>
        </w:rPr>
        <w:t xml:space="preserve">vienoto likmi 20 procentu apmērā no </w:t>
      </w:r>
      <w:r w:rsidR="00CA4500" w:rsidRPr="007A55A2">
        <w:rPr>
          <w:rFonts w:ascii="Times New Roman" w:hAnsi="Times New Roman" w:cs="Times New Roman"/>
          <w:i/>
          <w:iCs/>
          <w:color w:val="000000" w:themeColor="text1"/>
          <w:lang w:val="lv-LV"/>
        </w:rPr>
        <w:t>…</w:t>
      </w:r>
      <w:r w:rsidRPr="007A55A2">
        <w:rPr>
          <w:rFonts w:ascii="Times New Roman" w:hAnsi="Times New Roman" w:cs="Times New Roman"/>
          <w:i/>
          <w:iCs/>
          <w:color w:val="000000" w:themeColor="text1"/>
          <w:lang w:val="lv-LV"/>
        </w:rPr>
        <w:t xml:space="preserve"> tiešo attiecināmo izmaksu kopsummas</w:t>
      </w:r>
      <w:r w:rsidRPr="007A55A2">
        <w:rPr>
          <w:rFonts w:ascii="Times New Roman" w:hAnsi="Times New Roman" w:cs="Times New Roman"/>
          <w:color w:val="000000" w:themeColor="text1"/>
          <w:lang w:val="lv-LV"/>
        </w:rPr>
        <w:t>;</w:t>
      </w:r>
      <w:r w:rsidR="006E5CFC" w:rsidRPr="007A55A2">
        <w:rPr>
          <w:rFonts w:ascii="Times New Roman" w:hAnsi="Times New Roman" w:cs="Times New Roman"/>
          <w:color w:val="000000" w:themeColor="text1"/>
          <w:lang w:val="lv-LV"/>
        </w:rPr>
        <w:t>…</w:t>
      </w:r>
      <w:r w:rsidRPr="007A55A2">
        <w:rPr>
          <w:rFonts w:ascii="Times New Roman" w:hAnsi="Times New Roman" w:cs="Times New Roman"/>
          <w:color w:val="000000" w:themeColor="text1"/>
          <w:lang w:val="lv-LV"/>
        </w:rPr>
        <w:t>“.</w:t>
      </w:r>
      <w:r w:rsidR="006E5CFC" w:rsidRPr="007A55A2">
        <w:rPr>
          <w:rFonts w:ascii="Times New Roman" w:hAnsi="Times New Roman" w:cs="Times New Roman"/>
          <w:color w:val="000000" w:themeColor="text1"/>
          <w:lang w:val="lv-LV"/>
        </w:rPr>
        <w:t xml:space="preserve"> </w:t>
      </w:r>
      <w:r w:rsidR="00CA4500" w:rsidRPr="007A55A2">
        <w:rPr>
          <w:rFonts w:ascii="Times New Roman" w:hAnsi="Times New Roman" w:cs="Times New Roman"/>
          <w:color w:val="000000" w:themeColor="text1"/>
          <w:lang w:val="lv-LV"/>
        </w:rPr>
        <w:t>(18.2. punkts).</w:t>
      </w:r>
    </w:p>
    <w:p w14:paraId="3CAB5AD5" w14:textId="6C71D89F" w:rsidR="00871951" w:rsidRPr="007A55A2" w:rsidRDefault="00F84746" w:rsidP="008439F6">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Sākot ar </w:t>
      </w:r>
      <w:r w:rsidR="00F178DA" w:rsidRPr="007A55A2">
        <w:rPr>
          <w:rFonts w:ascii="Times New Roman" w:hAnsi="Times New Roman" w:cs="Times New Roman"/>
          <w:color w:val="000000" w:themeColor="text1"/>
          <w:lang w:val="lv-LV"/>
        </w:rPr>
        <w:t>FLPP</w:t>
      </w:r>
      <w:r w:rsidR="00F178DA" w:rsidRPr="007A55A2" w:rsidDel="00F178DA">
        <w:rPr>
          <w:rFonts w:ascii="Times New Roman" w:hAnsi="Times New Roman" w:cs="Times New Roman"/>
          <w:color w:val="000000" w:themeColor="text1"/>
          <w:lang w:val="lv-LV"/>
        </w:rPr>
        <w:t xml:space="preserve"> </w:t>
      </w:r>
      <w:r w:rsidRPr="007A55A2">
        <w:rPr>
          <w:rFonts w:ascii="Times New Roman" w:hAnsi="Times New Roman" w:cs="Times New Roman"/>
          <w:color w:val="000000" w:themeColor="text1"/>
          <w:lang w:val="lv-LV"/>
        </w:rPr>
        <w:t>2022/1 konkurs</w:t>
      </w:r>
      <w:r w:rsidR="00CB768B" w:rsidRPr="007A55A2">
        <w:rPr>
          <w:rFonts w:ascii="Times New Roman" w:hAnsi="Times New Roman" w:cs="Times New Roman"/>
          <w:color w:val="000000" w:themeColor="text1"/>
          <w:lang w:val="lv-LV"/>
        </w:rPr>
        <w:t xml:space="preserve">a nolikumu, </w:t>
      </w:r>
      <w:r w:rsidR="00A97568" w:rsidRPr="007A55A2">
        <w:rPr>
          <w:rFonts w:ascii="Times New Roman" w:hAnsi="Times New Roman" w:cs="Times New Roman"/>
          <w:color w:val="000000" w:themeColor="text1"/>
          <w:lang w:val="lv-LV"/>
        </w:rPr>
        <w:t>vienotā likm</w:t>
      </w:r>
      <w:r w:rsidR="00871951" w:rsidRPr="007A55A2">
        <w:rPr>
          <w:rFonts w:ascii="Times New Roman" w:hAnsi="Times New Roman" w:cs="Times New Roman"/>
          <w:color w:val="000000" w:themeColor="text1"/>
          <w:lang w:val="lv-LV"/>
        </w:rPr>
        <w:t>e</w:t>
      </w:r>
      <w:r w:rsidR="00A97568" w:rsidRPr="007A55A2">
        <w:rPr>
          <w:rFonts w:ascii="Times New Roman" w:hAnsi="Times New Roman" w:cs="Times New Roman"/>
          <w:color w:val="000000" w:themeColor="text1"/>
          <w:lang w:val="lv-LV"/>
        </w:rPr>
        <w:t xml:space="preserve"> ir saistīta ar </w:t>
      </w:r>
      <w:r w:rsidR="001D37A4" w:rsidRPr="007A55A2">
        <w:rPr>
          <w:rFonts w:ascii="Times New Roman" w:hAnsi="Times New Roman" w:cs="Times New Roman"/>
          <w:color w:val="000000" w:themeColor="text1"/>
          <w:lang w:val="lv-LV"/>
        </w:rPr>
        <w:t>zinātniskās grupas locekļu atlīdzības izmaksām</w:t>
      </w:r>
      <w:r w:rsidR="00871951" w:rsidRPr="007A55A2">
        <w:rPr>
          <w:rFonts w:ascii="Times New Roman" w:hAnsi="Times New Roman" w:cs="Times New Roman"/>
          <w:color w:val="000000" w:themeColor="text1"/>
          <w:lang w:val="lv-LV"/>
        </w:rPr>
        <w:t>:</w:t>
      </w:r>
    </w:p>
    <w:p w14:paraId="46045156" w14:textId="45525BFF" w:rsidR="00871951" w:rsidRPr="007A55A2" w:rsidRDefault="001D37A4" w:rsidP="008439F6">
      <w:pPr>
        <w:ind w:left="851"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w:t>
      </w:r>
      <w:r w:rsidR="00E25571" w:rsidRPr="007A55A2">
        <w:rPr>
          <w:rFonts w:ascii="Times New Roman" w:hAnsi="Times New Roman" w:cs="Times New Roman"/>
          <w:color w:val="000000" w:themeColor="text1"/>
          <w:lang w:val="lv-LV"/>
        </w:rPr>
        <w:t>…</w:t>
      </w:r>
      <w:r w:rsidRPr="007A55A2">
        <w:rPr>
          <w:rFonts w:ascii="Times New Roman" w:hAnsi="Times New Roman" w:cs="Times New Roman"/>
          <w:i/>
          <w:iCs/>
          <w:color w:val="000000" w:themeColor="text1"/>
          <w:lang w:val="lv-LV"/>
        </w:rPr>
        <w:t>vienoto likmi 15 procentu apmērā no zinātniskās grupas locekļu atlīdzības izmaksām</w:t>
      </w:r>
      <w:r w:rsidR="008B0C36" w:rsidRPr="007A55A2">
        <w:rPr>
          <w:rFonts w:ascii="Times New Roman" w:hAnsi="Times New Roman" w:cs="Times New Roman"/>
          <w:color w:val="000000" w:themeColor="text1"/>
          <w:lang w:val="lv-LV"/>
        </w:rPr>
        <w:t xml:space="preserve">.”. </w:t>
      </w:r>
      <w:r w:rsidR="00E208D7" w:rsidRPr="007A55A2">
        <w:rPr>
          <w:rFonts w:ascii="Times New Roman" w:hAnsi="Times New Roman" w:cs="Times New Roman"/>
          <w:color w:val="000000" w:themeColor="text1"/>
          <w:lang w:val="lv-LV"/>
        </w:rPr>
        <w:t>(</w:t>
      </w:r>
      <w:r w:rsidR="00F178DA" w:rsidRPr="007A55A2">
        <w:rPr>
          <w:rFonts w:ascii="Times New Roman" w:hAnsi="Times New Roman" w:cs="Times New Roman"/>
          <w:color w:val="000000" w:themeColor="text1"/>
          <w:lang w:val="lv-LV"/>
        </w:rPr>
        <w:t>FLPP</w:t>
      </w:r>
      <w:r w:rsidR="00F178DA" w:rsidRPr="007A55A2" w:rsidDel="00F178DA">
        <w:rPr>
          <w:rFonts w:ascii="Times New Roman" w:hAnsi="Times New Roman" w:cs="Times New Roman"/>
          <w:color w:val="000000" w:themeColor="text1"/>
          <w:lang w:val="lv-LV"/>
        </w:rPr>
        <w:t xml:space="preserve"> </w:t>
      </w:r>
      <w:r w:rsidR="00E208D7" w:rsidRPr="007A55A2">
        <w:rPr>
          <w:rFonts w:ascii="Times New Roman" w:hAnsi="Times New Roman" w:cs="Times New Roman"/>
          <w:color w:val="000000" w:themeColor="text1"/>
          <w:lang w:val="lv-LV"/>
        </w:rPr>
        <w:t>2022/1 nolikums, 18.3. punkts).</w:t>
      </w:r>
    </w:p>
    <w:p w14:paraId="3783CBB0" w14:textId="2E0ABD37" w:rsidR="006E5CFC" w:rsidRPr="007A55A2" w:rsidRDefault="002772F3" w:rsidP="008439F6">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Ja sākotnējie </w:t>
      </w:r>
      <w:r w:rsidR="00CE28D2" w:rsidRPr="007A55A2">
        <w:rPr>
          <w:rFonts w:ascii="Times New Roman" w:hAnsi="Times New Roman" w:cs="Times New Roman"/>
          <w:color w:val="000000" w:themeColor="text1"/>
          <w:lang w:val="lv-LV"/>
        </w:rPr>
        <w:t>trīs</w:t>
      </w:r>
      <w:r w:rsidRPr="007A55A2">
        <w:rPr>
          <w:rFonts w:ascii="Times New Roman" w:hAnsi="Times New Roman" w:cs="Times New Roman"/>
          <w:color w:val="000000" w:themeColor="text1"/>
          <w:lang w:val="lv-LV"/>
        </w:rPr>
        <w:t xml:space="preserve"> formulējumi ietv</w:t>
      </w:r>
      <w:r w:rsidR="00F178DA" w:rsidRPr="007A55A2">
        <w:rPr>
          <w:rFonts w:ascii="Times New Roman" w:hAnsi="Times New Roman" w:cs="Times New Roman"/>
          <w:color w:val="000000" w:themeColor="text1"/>
          <w:lang w:val="lv-LV"/>
        </w:rPr>
        <w:t>e</w:t>
      </w:r>
      <w:r w:rsidRPr="007A55A2">
        <w:rPr>
          <w:rFonts w:ascii="Times New Roman" w:hAnsi="Times New Roman" w:cs="Times New Roman"/>
          <w:color w:val="000000" w:themeColor="text1"/>
          <w:lang w:val="lv-LV"/>
        </w:rPr>
        <w:t xml:space="preserve">r </w:t>
      </w:r>
      <w:r w:rsidR="00D4407F" w:rsidRPr="007A55A2">
        <w:rPr>
          <w:rFonts w:ascii="Times New Roman" w:hAnsi="Times New Roman" w:cs="Times New Roman"/>
          <w:color w:val="000000" w:themeColor="text1"/>
          <w:lang w:val="lv-LV"/>
        </w:rPr>
        <w:t>tiešajās attiecināmajās izmaksās</w:t>
      </w:r>
      <w:r w:rsidR="00AB7F36" w:rsidRPr="007A55A2">
        <w:rPr>
          <w:rFonts w:ascii="Times New Roman" w:hAnsi="Times New Roman" w:cs="Times New Roman"/>
          <w:color w:val="000000" w:themeColor="text1"/>
          <w:lang w:val="lv-LV"/>
        </w:rPr>
        <w:t xml:space="preserve"> arī ārējo pakalpojumu izmaksas, tad pēdējais formulējums jau pēc būtības tās izslēdz.</w:t>
      </w:r>
      <w:r w:rsidR="00672025" w:rsidRPr="007A55A2">
        <w:rPr>
          <w:rFonts w:ascii="Times New Roman" w:hAnsi="Times New Roman" w:cs="Times New Roman"/>
          <w:color w:val="000000" w:themeColor="text1"/>
          <w:lang w:val="lv-LV"/>
        </w:rPr>
        <w:t xml:space="preserve"> </w:t>
      </w:r>
    </w:p>
    <w:p w14:paraId="3EA4FED0" w14:textId="7FF316A8" w:rsidR="0087274D" w:rsidRPr="007A55A2" w:rsidRDefault="00A52ADC" w:rsidP="008439F6">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FLPP projektos </w:t>
      </w:r>
      <w:r w:rsidR="008B5CFE" w:rsidRPr="007A55A2">
        <w:rPr>
          <w:rFonts w:ascii="Times New Roman" w:hAnsi="Times New Roman" w:cs="Times New Roman"/>
          <w:color w:val="000000" w:themeColor="text1"/>
          <w:lang w:val="lv-LV"/>
        </w:rPr>
        <w:t>piemērojamā n</w:t>
      </w:r>
      <w:r w:rsidR="004F7D13" w:rsidRPr="007A55A2">
        <w:rPr>
          <w:rFonts w:ascii="Times New Roman" w:hAnsi="Times New Roman" w:cs="Times New Roman"/>
          <w:color w:val="000000" w:themeColor="text1"/>
          <w:lang w:val="lv-LV"/>
        </w:rPr>
        <w:t xml:space="preserve">etiešo izmaksu daļa pret </w:t>
      </w:r>
      <w:r w:rsidR="008B5CFE" w:rsidRPr="007A55A2">
        <w:rPr>
          <w:rFonts w:ascii="Times New Roman" w:hAnsi="Times New Roman" w:cs="Times New Roman"/>
          <w:color w:val="000000" w:themeColor="text1"/>
          <w:lang w:val="lv-LV"/>
        </w:rPr>
        <w:t xml:space="preserve">citiem </w:t>
      </w:r>
      <w:r w:rsidR="004F7D13" w:rsidRPr="007A55A2">
        <w:rPr>
          <w:rFonts w:ascii="Times New Roman" w:hAnsi="Times New Roman" w:cs="Times New Roman"/>
          <w:color w:val="000000" w:themeColor="text1"/>
          <w:lang w:val="lv-LV"/>
        </w:rPr>
        <w:t>izmaksu veidiem, no kuriem aprēķina netiešās izmaksas</w:t>
      </w:r>
      <w:r w:rsidR="00AA32C6" w:rsidRPr="007A55A2">
        <w:rPr>
          <w:rFonts w:ascii="Times New Roman" w:hAnsi="Times New Roman" w:cs="Times New Roman"/>
          <w:color w:val="000000" w:themeColor="text1"/>
          <w:lang w:val="lv-LV"/>
        </w:rPr>
        <w:t xml:space="preserve">, </w:t>
      </w:r>
      <w:r w:rsidR="0087274D" w:rsidRPr="007A55A2">
        <w:rPr>
          <w:rFonts w:ascii="Times New Roman" w:hAnsi="Times New Roman" w:cs="Times New Roman"/>
          <w:color w:val="000000" w:themeColor="text1"/>
          <w:lang w:val="lv-LV"/>
        </w:rPr>
        <w:t xml:space="preserve">aptverot piemērus no visiem četriem aprēķinu kārtības veidiem, </w:t>
      </w:r>
      <w:r w:rsidR="004F7D13" w:rsidRPr="007A55A2">
        <w:rPr>
          <w:rFonts w:ascii="Times New Roman" w:hAnsi="Times New Roman" w:cs="Times New Roman"/>
          <w:color w:val="000000" w:themeColor="text1"/>
          <w:lang w:val="lv-LV"/>
        </w:rPr>
        <w:t xml:space="preserve">ir apkopota </w:t>
      </w:r>
      <w:r w:rsidR="0087274D" w:rsidRPr="007A55A2">
        <w:rPr>
          <w:rFonts w:ascii="Times New Roman" w:hAnsi="Times New Roman" w:cs="Times New Roman"/>
          <w:color w:val="000000" w:themeColor="text1"/>
          <w:lang w:val="lv-LV"/>
        </w:rPr>
        <w:t>2</w:t>
      </w:r>
      <w:r w:rsidR="004F7D13" w:rsidRPr="007A55A2">
        <w:rPr>
          <w:rFonts w:ascii="Times New Roman" w:hAnsi="Times New Roman" w:cs="Times New Roman"/>
          <w:color w:val="000000" w:themeColor="text1"/>
          <w:lang w:val="lv-LV"/>
        </w:rPr>
        <w:t>. tabulā</w:t>
      </w:r>
      <w:r w:rsidR="0087274D" w:rsidRPr="007A55A2">
        <w:rPr>
          <w:rFonts w:ascii="Times New Roman" w:hAnsi="Times New Roman" w:cs="Times New Roman"/>
          <w:color w:val="000000" w:themeColor="text1"/>
          <w:lang w:val="lv-LV"/>
        </w:rPr>
        <w:t>. P</w:t>
      </w:r>
      <w:r w:rsidR="00694F79" w:rsidRPr="007A55A2">
        <w:rPr>
          <w:rFonts w:ascii="Times New Roman" w:hAnsi="Times New Roman" w:cs="Times New Roman"/>
          <w:color w:val="000000" w:themeColor="text1"/>
          <w:lang w:val="lv-LV"/>
        </w:rPr>
        <w:t xml:space="preserve">ēdējā notikušā </w:t>
      </w:r>
      <w:r w:rsidR="00A7262B" w:rsidRPr="007A55A2">
        <w:rPr>
          <w:rFonts w:ascii="Times New Roman" w:hAnsi="Times New Roman" w:cs="Times New Roman"/>
          <w:color w:val="000000" w:themeColor="text1"/>
          <w:lang w:val="lv-LV"/>
        </w:rPr>
        <w:t>FLPP</w:t>
      </w:r>
      <w:r w:rsidR="00A7262B" w:rsidRPr="007A55A2" w:rsidDel="00A7262B">
        <w:rPr>
          <w:rFonts w:ascii="Times New Roman" w:hAnsi="Times New Roman" w:cs="Times New Roman"/>
          <w:color w:val="000000" w:themeColor="text1"/>
          <w:lang w:val="lv-LV"/>
        </w:rPr>
        <w:t xml:space="preserve"> </w:t>
      </w:r>
      <w:r w:rsidR="007E0B9E" w:rsidRPr="007A55A2">
        <w:rPr>
          <w:rFonts w:ascii="Times New Roman" w:hAnsi="Times New Roman" w:cs="Times New Roman"/>
          <w:color w:val="000000" w:themeColor="text1"/>
          <w:lang w:val="lv-LV"/>
        </w:rPr>
        <w:t>202</w:t>
      </w:r>
      <w:r w:rsidR="00E93175" w:rsidRPr="007A55A2">
        <w:rPr>
          <w:rFonts w:ascii="Times New Roman" w:hAnsi="Times New Roman" w:cs="Times New Roman"/>
          <w:color w:val="000000" w:themeColor="text1"/>
          <w:lang w:val="lv-LV"/>
        </w:rPr>
        <w:t>4</w:t>
      </w:r>
      <w:r w:rsidR="007E0B9E" w:rsidRPr="007A55A2">
        <w:rPr>
          <w:rFonts w:ascii="Times New Roman" w:hAnsi="Times New Roman" w:cs="Times New Roman"/>
          <w:color w:val="000000" w:themeColor="text1"/>
          <w:lang w:val="lv-LV"/>
        </w:rPr>
        <w:t>/1 konkurs</w:t>
      </w:r>
      <w:r w:rsidR="0087274D" w:rsidRPr="007A55A2">
        <w:rPr>
          <w:rFonts w:ascii="Times New Roman" w:hAnsi="Times New Roman" w:cs="Times New Roman"/>
          <w:color w:val="000000" w:themeColor="text1"/>
          <w:lang w:val="lv-LV"/>
        </w:rPr>
        <w:t>ā</w:t>
      </w:r>
      <w:r w:rsidR="007E0B9E" w:rsidRPr="007A55A2">
        <w:rPr>
          <w:rFonts w:ascii="Times New Roman" w:hAnsi="Times New Roman" w:cs="Times New Roman"/>
          <w:color w:val="000000" w:themeColor="text1"/>
          <w:lang w:val="lv-LV"/>
        </w:rPr>
        <w:t xml:space="preserve"> </w:t>
      </w:r>
      <w:r w:rsidR="0087274D" w:rsidRPr="007A55A2">
        <w:rPr>
          <w:rFonts w:ascii="Times New Roman" w:hAnsi="Times New Roman" w:cs="Times New Roman"/>
          <w:color w:val="000000" w:themeColor="text1"/>
          <w:lang w:val="lv-LV"/>
        </w:rPr>
        <w:t xml:space="preserve">skatītas paredzētās netiešās izmaksas </w:t>
      </w:r>
      <w:r w:rsidR="007E0B9E" w:rsidRPr="007A55A2">
        <w:rPr>
          <w:rFonts w:ascii="Times New Roman" w:hAnsi="Times New Roman" w:cs="Times New Roman"/>
          <w:color w:val="000000" w:themeColor="text1"/>
          <w:lang w:val="lv-LV"/>
        </w:rPr>
        <w:t>finansēto projektu iesniegumos</w:t>
      </w:r>
      <w:r w:rsidR="0087274D" w:rsidRPr="007A55A2">
        <w:rPr>
          <w:rFonts w:ascii="Times New Roman" w:hAnsi="Times New Roman" w:cs="Times New Roman"/>
          <w:color w:val="000000" w:themeColor="text1"/>
          <w:lang w:val="lv-LV"/>
        </w:rPr>
        <w:t xml:space="preserve">, bet </w:t>
      </w:r>
      <w:r w:rsidR="00A7262B" w:rsidRPr="007A55A2">
        <w:rPr>
          <w:rFonts w:ascii="Times New Roman" w:hAnsi="Times New Roman" w:cs="Times New Roman"/>
          <w:color w:val="000000" w:themeColor="text1"/>
          <w:lang w:val="lv-LV"/>
        </w:rPr>
        <w:t>FLPP</w:t>
      </w:r>
      <w:r w:rsidR="00A7262B" w:rsidRPr="007A55A2" w:rsidDel="00A7262B">
        <w:rPr>
          <w:rFonts w:ascii="Times New Roman" w:hAnsi="Times New Roman" w:cs="Times New Roman"/>
          <w:color w:val="000000" w:themeColor="text1"/>
          <w:lang w:val="lv-LV"/>
        </w:rPr>
        <w:t xml:space="preserve"> </w:t>
      </w:r>
      <w:r w:rsidR="0087274D" w:rsidRPr="007A55A2">
        <w:rPr>
          <w:rFonts w:ascii="Times New Roman" w:hAnsi="Times New Roman" w:cs="Times New Roman"/>
          <w:color w:val="000000" w:themeColor="text1"/>
          <w:lang w:val="lv-LV"/>
        </w:rPr>
        <w:t xml:space="preserve">2018/1, </w:t>
      </w:r>
      <w:r w:rsidR="00A7262B" w:rsidRPr="007A55A2">
        <w:rPr>
          <w:rFonts w:ascii="Times New Roman" w:hAnsi="Times New Roman" w:cs="Times New Roman"/>
          <w:color w:val="000000" w:themeColor="text1"/>
          <w:lang w:val="lv-LV"/>
        </w:rPr>
        <w:t>FLPP</w:t>
      </w:r>
      <w:r w:rsidR="00A7262B" w:rsidRPr="007A55A2" w:rsidDel="00A7262B">
        <w:rPr>
          <w:rFonts w:ascii="Times New Roman" w:hAnsi="Times New Roman" w:cs="Times New Roman"/>
          <w:color w:val="000000" w:themeColor="text1"/>
          <w:lang w:val="lv-LV"/>
        </w:rPr>
        <w:t xml:space="preserve"> </w:t>
      </w:r>
      <w:r w:rsidR="0087274D" w:rsidRPr="007A55A2">
        <w:rPr>
          <w:rFonts w:ascii="Times New Roman" w:hAnsi="Times New Roman" w:cs="Times New Roman"/>
          <w:color w:val="000000" w:themeColor="text1"/>
          <w:lang w:val="lv-LV"/>
        </w:rPr>
        <w:t xml:space="preserve">2019/1 un </w:t>
      </w:r>
      <w:r w:rsidR="00A7262B" w:rsidRPr="007A55A2">
        <w:rPr>
          <w:rFonts w:ascii="Times New Roman" w:hAnsi="Times New Roman" w:cs="Times New Roman"/>
          <w:color w:val="000000" w:themeColor="text1"/>
          <w:lang w:val="lv-LV"/>
        </w:rPr>
        <w:t>FLPP</w:t>
      </w:r>
      <w:r w:rsidR="00A7262B" w:rsidRPr="007A55A2" w:rsidDel="00A7262B">
        <w:rPr>
          <w:rFonts w:ascii="Times New Roman" w:hAnsi="Times New Roman" w:cs="Times New Roman"/>
          <w:color w:val="000000" w:themeColor="text1"/>
          <w:lang w:val="lv-LV"/>
        </w:rPr>
        <w:t xml:space="preserve"> </w:t>
      </w:r>
      <w:r w:rsidR="0087274D" w:rsidRPr="007A55A2">
        <w:rPr>
          <w:rFonts w:ascii="Times New Roman" w:hAnsi="Times New Roman" w:cs="Times New Roman"/>
          <w:color w:val="000000" w:themeColor="text1"/>
          <w:lang w:val="lv-LV"/>
        </w:rPr>
        <w:t xml:space="preserve">2020/2 konkursu gadījumos skatītas </w:t>
      </w:r>
      <w:r w:rsidR="00C83950" w:rsidRPr="007A55A2">
        <w:rPr>
          <w:rFonts w:ascii="Times New Roman" w:hAnsi="Times New Roman" w:cs="Times New Roman"/>
          <w:color w:val="000000" w:themeColor="text1"/>
          <w:lang w:val="lv-LV"/>
        </w:rPr>
        <w:t>netiešās izmaksas vidēji visos viena konkursa īstenotajos projektos</w:t>
      </w:r>
      <w:r w:rsidR="0087274D" w:rsidRPr="007A55A2">
        <w:rPr>
          <w:rFonts w:ascii="Times New Roman" w:hAnsi="Times New Roman" w:cs="Times New Roman"/>
          <w:color w:val="000000" w:themeColor="text1"/>
          <w:lang w:val="lv-LV"/>
        </w:rPr>
        <w:t>.</w:t>
      </w:r>
    </w:p>
    <w:p w14:paraId="4A670AD1" w14:textId="09040011" w:rsidR="00944AA7" w:rsidRPr="007A55A2" w:rsidRDefault="00944AA7" w:rsidP="008439F6">
      <w:pPr>
        <w:ind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Nosakot FLPP konkursos kopš 2022. gada netiešās izmaksas kā 15% no atlīdzības izmaksām, ir par ~2-3% pieaugusi netiešo izmaksu daļa gan pret kopējo budžetu, gan arī pret visām tiešam izmaksām un atlīdzības izmaksām, salīdzinot ar </w:t>
      </w:r>
      <w:r w:rsidR="00A7262B" w:rsidRPr="007A55A2">
        <w:rPr>
          <w:rFonts w:ascii="Times New Roman" w:hAnsi="Times New Roman" w:cs="Times New Roman"/>
          <w:color w:val="000000" w:themeColor="text1"/>
          <w:lang w:val="lv-LV"/>
        </w:rPr>
        <w:t>FLPP</w:t>
      </w:r>
      <w:r w:rsidR="00A7262B" w:rsidRPr="007A55A2" w:rsidDel="00A7262B">
        <w:rPr>
          <w:rFonts w:ascii="Times New Roman" w:hAnsi="Times New Roman" w:cs="Times New Roman"/>
          <w:color w:val="000000" w:themeColor="text1"/>
          <w:lang w:val="lv-LV"/>
        </w:rPr>
        <w:t xml:space="preserve"> </w:t>
      </w:r>
      <w:r w:rsidRPr="007A55A2">
        <w:rPr>
          <w:rFonts w:ascii="Times New Roman" w:hAnsi="Times New Roman" w:cs="Times New Roman"/>
          <w:color w:val="000000" w:themeColor="text1"/>
          <w:lang w:val="lv-LV"/>
        </w:rPr>
        <w:t xml:space="preserve">2018/1 un </w:t>
      </w:r>
      <w:r w:rsidR="00A7262B" w:rsidRPr="007A55A2">
        <w:rPr>
          <w:rFonts w:ascii="Times New Roman" w:hAnsi="Times New Roman" w:cs="Times New Roman"/>
          <w:color w:val="000000" w:themeColor="text1"/>
          <w:lang w:val="lv-LV"/>
        </w:rPr>
        <w:t>FLPP</w:t>
      </w:r>
      <w:r w:rsidR="00A7262B" w:rsidRPr="007A55A2" w:rsidDel="00A7262B">
        <w:rPr>
          <w:rFonts w:ascii="Times New Roman" w:hAnsi="Times New Roman" w:cs="Times New Roman"/>
          <w:color w:val="000000" w:themeColor="text1"/>
          <w:lang w:val="lv-LV"/>
        </w:rPr>
        <w:t xml:space="preserve"> </w:t>
      </w:r>
      <w:r w:rsidRPr="007A55A2">
        <w:rPr>
          <w:rFonts w:ascii="Times New Roman" w:hAnsi="Times New Roman" w:cs="Times New Roman"/>
          <w:color w:val="000000" w:themeColor="text1"/>
          <w:lang w:val="lv-LV"/>
        </w:rPr>
        <w:t xml:space="preserve">2019/1, kas ir piemēri netiešo izmaksu definēšanai līdz 10% no visām tiešajām izmaksām. </w:t>
      </w:r>
      <w:r w:rsidR="00A7262B" w:rsidRPr="007A55A2">
        <w:rPr>
          <w:rFonts w:ascii="Times New Roman" w:hAnsi="Times New Roman" w:cs="Times New Roman"/>
          <w:color w:val="000000" w:themeColor="text1"/>
          <w:lang w:val="lv-LV"/>
        </w:rPr>
        <w:t>FLPP</w:t>
      </w:r>
      <w:r w:rsidR="00A7262B" w:rsidRPr="007A55A2" w:rsidDel="00A7262B">
        <w:rPr>
          <w:rFonts w:ascii="Times New Roman" w:hAnsi="Times New Roman" w:cs="Times New Roman"/>
          <w:color w:val="000000" w:themeColor="text1"/>
          <w:lang w:val="lv-LV"/>
        </w:rPr>
        <w:t xml:space="preserve"> </w:t>
      </w:r>
      <w:r w:rsidRPr="007A55A2">
        <w:rPr>
          <w:rFonts w:ascii="Times New Roman" w:hAnsi="Times New Roman" w:cs="Times New Roman"/>
          <w:color w:val="000000" w:themeColor="text1"/>
          <w:lang w:val="lv-LV"/>
        </w:rPr>
        <w:t xml:space="preserve">2020/2 konkursa gadījumā </w:t>
      </w:r>
      <w:r w:rsidR="00A7262B" w:rsidRPr="007A55A2">
        <w:rPr>
          <w:rFonts w:ascii="Times New Roman" w:hAnsi="Times New Roman" w:cs="Times New Roman"/>
          <w:color w:val="000000" w:themeColor="text1"/>
          <w:lang w:val="lv-LV"/>
        </w:rPr>
        <w:t xml:space="preserve">noteikta </w:t>
      </w:r>
      <w:r w:rsidRPr="007A55A2">
        <w:rPr>
          <w:rFonts w:ascii="Times New Roman" w:hAnsi="Times New Roman" w:cs="Times New Roman"/>
          <w:color w:val="000000" w:themeColor="text1"/>
          <w:lang w:val="lv-LV"/>
        </w:rPr>
        <w:t xml:space="preserve">20% netiešo izmaksu daļa no visām tiešajām izmaksām, </w:t>
      </w:r>
      <w:r w:rsidR="00A7262B" w:rsidRPr="007A55A2">
        <w:rPr>
          <w:rFonts w:ascii="Times New Roman" w:hAnsi="Times New Roman" w:cs="Times New Roman"/>
          <w:color w:val="000000" w:themeColor="text1"/>
          <w:lang w:val="lv-LV"/>
        </w:rPr>
        <w:t xml:space="preserve"> jeb</w:t>
      </w:r>
      <w:r w:rsidRPr="007A55A2">
        <w:rPr>
          <w:rFonts w:ascii="Times New Roman" w:hAnsi="Times New Roman" w:cs="Times New Roman"/>
          <w:color w:val="000000" w:themeColor="text1"/>
          <w:lang w:val="lv-LV"/>
        </w:rPr>
        <w:t xml:space="preserve"> no kopējā budžeta un atlīdzības izmaksām, </w:t>
      </w:r>
      <w:r w:rsidR="00A7262B" w:rsidRPr="007A55A2">
        <w:rPr>
          <w:rFonts w:ascii="Times New Roman" w:hAnsi="Times New Roman" w:cs="Times New Roman"/>
          <w:color w:val="000000" w:themeColor="text1"/>
          <w:lang w:val="lv-LV"/>
        </w:rPr>
        <w:t xml:space="preserve">kas </w:t>
      </w:r>
      <w:r w:rsidRPr="007A55A2">
        <w:rPr>
          <w:rFonts w:ascii="Times New Roman" w:hAnsi="Times New Roman" w:cs="Times New Roman"/>
          <w:color w:val="000000" w:themeColor="text1"/>
          <w:lang w:val="lv-LV"/>
        </w:rPr>
        <w:t>ir jā</w:t>
      </w:r>
      <w:r w:rsidR="00E060DE" w:rsidRPr="007A55A2">
        <w:rPr>
          <w:rFonts w:ascii="Times New Roman" w:hAnsi="Times New Roman" w:cs="Times New Roman"/>
          <w:color w:val="000000" w:themeColor="text1"/>
          <w:lang w:val="lv-LV"/>
        </w:rPr>
        <w:t>vērtē</w:t>
      </w:r>
      <w:r w:rsidRPr="007A55A2">
        <w:rPr>
          <w:rFonts w:ascii="Times New Roman" w:hAnsi="Times New Roman" w:cs="Times New Roman"/>
          <w:color w:val="000000" w:themeColor="text1"/>
          <w:lang w:val="lv-LV"/>
        </w:rPr>
        <w:t xml:space="preserve"> kā nozares politikas lēmums COVID-19 krīzes apstākļos šīs krīzes pārvarēšanai.</w:t>
      </w:r>
    </w:p>
    <w:p w14:paraId="5132A6D2" w14:textId="69E1BFB4" w:rsidR="00F75234" w:rsidRPr="007A55A2" w:rsidRDefault="007C7DD7" w:rsidP="008439F6">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Salīdzinot </w:t>
      </w:r>
      <w:r w:rsidR="00861947" w:rsidRPr="007A55A2">
        <w:rPr>
          <w:rFonts w:ascii="Times New Roman" w:hAnsi="Times New Roman" w:cs="Times New Roman"/>
          <w:color w:val="000000" w:themeColor="text1"/>
          <w:lang w:val="lv-LV"/>
        </w:rPr>
        <w:t xml:space="preserve">netiešās izmaksas FLPP </w:t>
      </w:r>
      <w:r w:rsidR="005D4721" w:rsidRPr="007A55A2">
        <w:rPr>
          <w:rFonts w:ascii="Times New Roman" w:hAnsi="Times New Roman" w:cs="Times New Roman"/>
          <w:color w:val="000000" w:themeColor="text1"/>
          <w:lang w:val="lv-LV"/>
        </w:rPr>
        <w:t xml:space="preserve">2024/1 konkursa </w:t>
      </w:r>
      <w:r w:rsidR="006D1A91" w:rsidRPr="007A55A2">
        <w:rPr>
          <w:rFonts w:ascii="Times New Roman" w:hAnsi="Times New Roman" w:cs="Times New Roman"/>
          <w:color w:val="000000" w:themeColor="text1"/>
          <w:lang w:val="lv-LV"/>
        </w:rPr>
        <w:t xml:space="preserve">finansētos </w:t>
      </w:r>
      <w:r w:rsidR="005D4721" w:rsidRPr="007A55A2">
        <w:rPr>
          <w:rFonts w:ascii="Times New Roman" w:hAnsi="Times New Roman" w:cs="Times New Roman"/>
          <w:color w:val="000000" w:themeColor="text1"/>
          <w:lang w:val="lv-LV"/>
        </w:rPr>
        <w:t xml:space="preserve">projektos </w:t>
      </w:r>
      <w:r w:rsidRPr="007A55A2">
        <w:rPr>
          <w:rFonts w:ascii="Times New Roman" w:hAnsi="Times New Roman" w:cs="Times New Roman"/>
          <w:color w:val="000000" w:themeColor="text1"/>
          <w:lang w:val="lv-LV"/>
        </w:rPr>
        <w:t xml:space="preserve">ar VPP </w:t>
      </w:r>
      <w:r w:rsidR="006D1A91" w:rsidRPr="007A55A2">
        <w:rPr>
          <w:rFonts w:ascii="Times New Roman" w:hAnsi="Times New Roman" w:cs="Times New Roman"/>
          <w:color w:val="000000" w:themeColor="text1"/>
          <w:lang w:val="lv-LV"/>
        </w:rPr>
        <w:t xml:space="preserve">finansētiem </w:t>
      </w:r>
      <w:r w:rsidR="005D4721" w:rsidRPr="007A55A2">
        <w:rPr>
          <w:rFonts w:ascii="Times New Roman" w:hAnsi="Times New Roman" w:cs="Times New Roman"/>
          <w:color w:val="000000" w:themeColor="text1"/>
          <w:lang w:val="lv-LV"/>
        </w:rPr>
        <w:t>projektiem pēc</w:t>
      </w:r>
      <w:r w:rsidRPr="007A55A2">
        <w:rPr>
          <w:rFonts w:ascii="Times New Roman" w:hAnsi="Times New Roman" w:cs="Times New Roman"/>
          <w:color w:val="000000" w:themeColor="text1"/>
          <w:lang w:val="lv-LV"/>
        </w:rPr>
        <w:t xml:space="preserve"> </w:t>
      </w:r>
      <w:r w:rsidR="006A5B1B" w:rsidRPr="007A55A2">
        <w:rPr>
          <w:rFonts w:ascii="Times New Roman" w:hAnsi="Times New Roman" w:cs="Times New Roman"/>
          <w:color w:val="000000" w:themeColor="text1"/>
          <w:lang w:val="lv-LV"/>
        </w:rPr>
        <w:t>09.06.2023.,</w:t>
      </w:r>
      <w:r w:rsidR="006A4ED2" w:rsidRPr="007A55A2">
        <w:rPr>
          <w:rFonts w:ascii="Times New Roman" w:hAnsi="Times New Roman" w:cs="Times New Roman"/>
          <w:color w:val="000000" w:themeColor="text1"/>
          <w:lang w:val="lv-LV"/>
        </w:rPr>
        <w:t xml:space="preserve"> praktiski nav </w:t>
      </w:r>
      <w:r w:rsidR="00185116" w:rsidRPr="007A55A2">
        <w:rPr>
          <w:rFonts w:ascii="Times New Roman" w:hAnsi="Times New Roman" w:cs="Times New Roman"/>
          <w:color w:val="000000" w:themeColor="text1"/>
          <w:lang w:val="lv-LV"/>
        </w:rPr>
        <w:t>būtisku atšķirību</w:t>
      </w:r>
      <w:r w:rsidR="002A7BB7" w:rsidRPr="007A55A2">
        <w:rPr>
          <w:rFonts w:ascii="Times New Roman" w:hAnsi="Times New Roman" w:cs="Times New Roman"/>
          <w:color w:val="000000" w:themeColor="text1"/>
          <w:lang w:val="lv-LV"/>
        </w:rPr>
        <w:t>,</w:t>
      </w:r>
      <w:r w:rsidR="00C2742B" w:rsidRPr="007A55A2">
        <w:rPr>
          <w:rFonts w:ascii="Times New Roman" w:hAnsi="Times New Roman" w:cs="Times New Roman"/>
          <w:color w:val="000000" w:themeColor="text1"/>
          <w:lang w:val="lv-LV"/>
        </w:rPr>
        <w:t xml:space="preserve"> skatot </w:t>
      </w:r>
      <w:r w:rsidR="00BF3F63" w:rsidRPr="007A55A2">
        <w:rPr>
          <w:rFonts w:ascii="Times New Roman" w:hAnsi="Times New Roman" w:cs="Times New Roman"/>
          <w:color w:val="000000" w:themeColor="text1"/>
          <w:lang w:val="lv-LV"/>
        </w:rPr>
        <w:t xml:space="preserve">vidējās </w:t>
      </w:r>
      <w:r w:rsidR="00C2742B" w:rsidRPr="007A55A2">
        <w:rPr>
          <w:rFonts w:ascii="Times New Roman" w:hAnsi="Times New Roman" w:cs="Times New Roman"/>
          <w:color w:val="000000" w:themeColor="text1"/>
          <w:lang w:val="lv-LV"/>
        </w:rPr>
        <w:t>netiešās izmaksas pret kopējām projektu izmaksām</w:t>
      </w:r>
      <w:r w:rsidR="00B2230E" w:rsidRPr="007A55A2">
        <w:rPr>
          <w:rFonts w:ascii="Times New Roman" w:hAnsi="Times New Roman" w:cs="Times New Roman"/>
          <w:color w:val="000000" w:themeColor="text1"/>
          <w:lang w:val="lv-LV"/>
        </w:rPr>
        <w:t xml:space="preserve">, </w:t>
      </w:r>
      <w:r w:rsidR="00282900" w:rsidRPr="007A55A2">
        <w:rPr>
          <w:rFonts w:ascii="Times New Roman" w:hAnsi="Times New Roman" w:cs="Times New Roman"/>
          <w:color w:val="000000" w:themeColor="text1"/>
          <w:lang w:val="lv-LV"/>
        </w:rPr>
        <w:t>visām</w:t>
      </w:r>
      <w:r w:rsidR="006405CB" w:rsidRPr="007A55A2">
        <w:rPr>
          <w:rFonts w:ascii="Times New Roman" w:hAnsi="Times New Roman" w:cs="Times New Roman"/>
          <w:color w:val="000000" w:themeColor="text1"/>
          <w:lang w:val="lv-LV"/>
        </w:rPr>
        <w:t xml:space="preserve"> </w:t>
      </w:r>
      <w:r w:rsidR="0059432B" w:rsidRPr="007A55A2">
        <w:rPr>
          <w:rFonts w:ascii="Times New Roman" w:hAnsi="Times New Roman" w:cs="Times New Roman"/>
          <w:color w:val="000000" w:themeColor="text1"/>
          <w:lang w:val="lv-LV"/>
        </w:rPr>
        <w:t>tiešajām izmaksām</w:t>
      </w:r>
      <w:r w:rsidR="00B2230E" w:rsidRPr="007A55A2">
        <w:rPr>
          <w:rFonts w:ascii="Times New Roman" w:hAnsi="Times New Roman" w:cs="Times New Roman"/>
          <w:color w:val="000000" w:themeColor="text1"/>
          <w:lang w:val="lv-LV"/>
        </w:rPr>
        <w:t xml:space="preserve"> vai tiešajām izmaksām</w:t>
      </w:r>
      <w:r w:rsidR="00185116" w:rsidRPr="007A55A2">
        <w:rPr>
          <w:rFonts w:ascii="Times New Roman" w:hAnsi="Times New Roman" w:cs="Times New Roman"/>
          <w:color w:val="000000" w:themeColor="text1"/>
          <w:lang w:val="lv-LV"/>
        </w:rPr>
        <w:t>, atskaitot ārējo pakalpojumu izmaksas</w:t>
      </w:r>
      <w:r w:rsidR="002A7BB7" w:rsidRPr="007A55A2">
        <w:rPr>
          <w:rFonts w:ascii="Times New Roman" w:hAnsi="Times New Roman" w:cs="Times New Roman"/>
          <w:color w:val="000000" w:themeColor="text1"/>
          <w:lang w:val="lv-LV"/>
        </w:rPr>
        <w:t xml:space="preserve">. </w:t>
      </w:r>
      <w:r w:rsidR="00944AA7" w:rsidRPr="007A55A2">
        <w:rPr>
          <w:rFonts w:ascii="Times New Roman" w:hAnsi="Times New Roman" w:cs="Times New Roman"/>
          <w:color w:val="000000" w:themeColor="text1"/>
          <w:lang w:val="lv-LV"/>
        </w:rPr>
        <w:t xml:space="preserve">Līdz ar var teikt, ka </w:t>
      </w:r>
      <w:r w:rsidR="003701A5" w:rsidRPr="007A55A2">
        <w:rPr>
          <w:rFonts w:ascii="Times New Roman" w:hAnsi="Times New Roman" w:cs="Times New Roman"/>
          <w:color w:val="000000" w:themeColor="text1"/>
          <w:lang w:val="lv-LV"/>
        </w:rPr>
        <w:t xml:space="preserve">nav netiešo izmaksu īpatsvara būtisku atšķirību </w:t>
      </w:r>
      <w:r w:rsidR="00944AA7" w:rsidRPr="007A55A2">
        <w:rPr>
          <w:rFonts w:ascii="Times New Roman" w:hAnsi="Times New Roman" w:cs="Times New Roman"/>
          <w:color w:val="000000" w:themeColor="text1"/>
          <w:lang w:val="lv-LV"/>
        </w:rPr>
        <w:t>kopš 2023. gada uzsāktajos FLPP un VPP projektos</w:t>
      </w:r>
      <w:r w:rsidR="003701A5" w:rsidRPr="007A55A2">
        <w:rPr>
          <w:rFonts w:ascii="Times New Roman" w:hAnsi="Times New Roman" w:cs="Times New Roman"/>
          <w:color w:val="000000" w:themeColor="text1"/>
          <w:lang w:val="lv-LV"/>
        </w:rPr>
        <w:t>.</w:t>
      </w:r>
    </w:p>
    <w:p w14:paraId="4553F440" w14:textId="48032653" w:rsidR="00F75234" w:rsidRPr="007A55A2" w:rsidRDefault="002D48AB" w:rsidP="00EA211D">
      <w:pPr>
        <w:spacing w:after="480"/>
        <w:ind w:right="-6"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Atšķirības starp viena konkursa projektiem attiecībā pret netiešo izmaksu noteikšanas veidu un to, kādu budžeta sadalījumu šādā situācijā paredz projektu īstenotāji</w:t>
      </w:r>
      <w:r w:rsidR="004240F6" w:rsidRPr="007A55A2">
        <w:rPr>
          <w:rFonts w:ascii="Times New Roman" w:hAnsi="Times New Roman" w:cs="Times New Roman"/>
          <w:color w:val="000000" w:themeColor="text1"/>
          <w:lang w:val="lv-LV"/>
        </w:rPr>
        <w:t>,</w:t>
      </w:r>
      <w:r w:rsidRPr="007A55A2">
        <w:rPr>
          <w:rFonts w:ascii="Times New Roman" w:hAnsi="Times New Roman" w:cs="Times New Roman"/>
          <w:color w:val="000000" w:themeColor="text1"/>
          <w:lang w:val="lv-LV"/>
        </w:rPr>
        <w:t xml:space="preserve"> </w:t>
      </w:r>
      <w:r w:rsidR="00AA7E84" w:rsidRPr="007A55A2">
        <w:rPr>
          <w:rFonts w:ascii="Times New Roman" w:hAnsi="Times New Roman" w:cs="Times New Roman"/>
          <w:color w:val="000000" w:themeColor="text1"/>
          <w:lang w:val="lv-LV"/>
        </w:rPr>
        <w:t>ļauj izprast FLPP</w:t>
      </w:r>
      <w:r w:rsidR="00AA7E84" w:rsidRPr="007A55A2" w:rsidDel="00A7262B">
        <w:rPr>
          <w:rFonts w:ascii="Times New Roman" w:hAnsi="Times New Roman" w:cs="Times New Roman"/>
          <w:color w:val="000000" w:themeColor="text1"/>
          <w:lang w:val="lv-LV"/>
        </w:rPr>
        <w:t xml:space="preserve"> </w:t>
      </w:r>
      <w:r w:rsidR="00AA7E84" w:rsidRPr="007A55A2">
        <w:rPr>
          <w:rFonts w:ascii="Times New Roman" w:hAnsi="Times New Roman" w:cs="Times New Roman"/>
          <w:color w:val="000000" w:themeColor="text1"/>
          <w:lang w:val="lv-LV"/>
        </w:rPr>
        <w:lastRenderedPageBreak/>
        <w:t>2024/</w:t>
      </w:r>
      <w:r w:rsidR="00372582" w:rsidRPr="007A55A2">
        <w:rPr>
          <w:rFonts w:ascii="Times New Roman" w:hAnsi="Times New Roman" w:cs="Times New Roman"/>
          <w:color w:val="000000" w:themeColor="text1"/>
          <w:lang w:val="lv-LV"/>
        </w:rPr>
        <w:t>1</w:t>
      </w:r>
      <w:r w:rsidR="005732B4" w:rsidRPr="007A55A2">
        <w:rPr>
          <w:rFonts w:ascii="Times New Roman" w:hAnsi="Times New Roman" w:cs="Times New Roman"/>
          <w:color w:val="000000" w:themeColor="text1"/>
          <w:lang w:val="lv-LV"/>
        </w:rPr>
        <w:t xml:space="preserve"> konkursā finansēšanai apstiprināto projektu </w:t>
      </w:r>
      <w:r w:rsidR="009A244C" w:rsidRPr="007A55A2">
        <w:rPr>
          <w:rFonts w:ascii="Times New Roman" w:hAnsi="Times New Roman" w:cs="Times New Roman"/>
          <w:color w:val="000000" w:themeColor="text1"/>
          <w:lang w:val="lv-LV"/>
        </w:rPr>
        <w:t>kopaina</w:t>
      </w:r>
      <w:r w:rsidR="00315454" w:rsidRPr="007A55A2">
        <w:rPr>
          <w:rFonts w:ascii="Times New Roman" w:hAnsi="Times New Roman" w:cs="Times New Roman"/>
          <w:color w:val="000000" w:themeColor="text1"/>
          <w:lang w:val="lv-LV"/>
        </w:rPr>
        <w:t xml:space="preserve"> (tika </w:t>
      </w:r>
      <w:r w:rsidR="005D1F3F" w:rsidRPr="007A55A2">
        <w:rPr>
          <w:rFonts w:ascii="Times New Roman" w:hAnsi="Times New Roman" w:cs="Times New Roman"/>
          <w:color w:val="000000" w:themeColor="text1"/>
          <w:lang w:val="lv-LV"/>
        </w:rPr>
        <w:t xml:space="preserve">apstiprināts FLPP konkursiem salīdzinoši </w:t>
      </w:r>
      <w:r w:rsidR="00F75234" w:rsidRPr="007A55A2">
        <w:rPr>
          <w:rFonts w:ascii="Times New Roman" w:hAnsi="Times New Roman" w:cs="Times New Roman"/>
          <w:color w:val="000000" w:themeColor="text1"/>
          <w:lang w:val="lv-LV"/>
        </w:rPr>
        <w:t>lielais projektu skaits – 91</w:t>
      </w:r>
      <w:r w:rsidR="005D1F3F" w:rsidRPr="007A55A2">
        <w:rPr>
          <w:rFonts w:ascii="Times New Roman" w:hAnsi="Times New Roman" w:cs="Times New Roman"/>
          <w:color w:val="000000" w:themeColor="text1"/>
          <w:lang w:val="lv-LV"/>
        </w:rPr>
        <w:t>)</w:t>
      </w:r>
      <w:r w:rsidR="003701A5" w:rsidRPr="007A55A2">
        <w:rPr>
          <w:rFonts w:ascii="Times New Roman" w:hAnsi="Times New Roman" w:cs="Times New Roman"/>
          <w:color w:val="000000" w:themeColor="text1"/>
          <w:lang w:val="lv-LV"/>
        </w:rPr>
        <w:t>.</w:t>
      </w:r>
      <w:r w:rsidR="00E46B41" w:rsidRPr="007A55A2">
        <w:rPr>
          <w:rFonts w:ascii="Times New Roman" w:hAnsi="Times New Roman" w:cs="Times New Roman"/>
          <w:color w:val="000000" w:themeColor="text1"/>
          <w:lang w:val="lv-LV"/>
        </w:rPr>
        <w:t xml:space="preserve"> </w:t>
      </w:r>
      <w:r w:rsidR="0089750E" w:rsidRPr="007A55A2">
        <w:rPr>
          <w:rFonts w:ascii="Times New Roman" w:hAnsi="Times New Roman" w:cs="Times New Roman"/>
          <w:color w:val="000000" w:themeColor="text1"/>
          <w:lang w:val="lv-LV"/>
        </w:rPr>
        <w:t xml:space="preserve">Ir vērojama ļoti liela izkliede netiešo izmaksu daļas lielumā starp finansētajiem projektiem. </w:t>
      </w:r>
      <w:r w:rsidR="00E46B41" w:rsidRPr="007A55A2">
        <w:rPr>
          <w:rFonts w:ascii="Times New Roman" w:hAnsi="Times New Roman" w:cs="Times New Roman"/>
          <w:color w:val="000000" w:themeColor="text1"/>
          <w:lang w:val="lv-LV"/>
        </w:rPr>
        <w:t>Attēls 1. parāda kopējo sakarību</w:t>
      </w:r>
      <w:r w:rsidR="00DC4B38" w:rsidRPr="007A55A2">
        <w:rPr>
          <w:rFonts w:ascii="Times New Roman" w:hAnsi="Times New Roman" w:cs="Times New Roman"/>
          <w:color w:val="000000" w:themeColor="text1"/>
          <w:lang w:val="lv-LV"/>
        </w:rPr>
        <w:t>, ka</w:t>
      </w:r>
      <w:r w:rsidR="00E46B41" w:rsidRPr="007A55A2">
        <w:rPr>
          <w:rFonts w:ascii="Times New Roman" w:hAnsi="Times New Roman" w:cs="Times New Roman"/>
          <w:color w:val="000000" w:themeColor="text1"/>
          <w:lang w:val="lv-LV"/>
        </w:rPr>
        <w:t xml:space="preserve"> netiešo izmaksu daļa </w:t>
      </w:r>
      <w:r w:rsidR="00090C55" w:rsidRPr="007A55A2">
        <w:rPr>
          <w:rFonts w:ascii="Times New Roman" w:hAnsi="Times New Roman" w:cs="Times New Roman"/>
          <w:color w:val="000000" w:themeColor="text1"/>
          <w:lang w:val="lv-LV"/>
        </w:rPr>
        <w:t>pret</w:t>
      </w:r>
      <w:r w:rsidR="00E46B41" w:rsidRPr="007A55A2">
        <w:rPr>
          <w:rFonts w:ascii="Times New Roman" w:hAnsi="Times New Roman" w:cs="Times New Roman"/>
          <w:color w:val="000000" w:themeColor="text1"/>
          <w:lang w:val="lv-LV"/>
        </w:rPr>
        <w:t xml:space="preserve"> tiešajām izmaksām </w:t>
      </w:r>
      <w:r w:rsidR="00090C55" w:rsidRPr="007A55A2">
        <w:rPr>
          <w:rFonts w:ascii="Times New Roman" w:hAnsi="Times New Roman" w:cs="Times New Roman"/>
          <w:color w:val="000000" w:themeColor="text1"/>
          <w:lang w:val="lv-LV"/>
        </w:rPr>
        <w:t>krītas</w:t>
      </w:r>
      <w:r w:rsidR="00A7262B" w:rsidRPr="007A55A2">
        <w:rPr>
          <w:rFonts w:ascii="Times New Roman" w:hAnsi="Times New Roman" w:cs="Times New Roman"/>
          <w:color w:val="000000" w:themeColor="text1"/>
          <w:lang w:val="lv-LV"/>
        </w:rPr>
        <w:t>,</w:t>
      </w:r>
      <w:r w:rsidR="00090C55" w:rsidRPr="007A55A2">
        <w:rPr>
          <w:rFonts w:ascii="Times New Roman" w:hAnsi="Times New Roman" w:cs="Times New Roman"/>
          <w:color w:val="000000" w:themeColor="text1"/>
          <w:lang w:val="lv-LV"/>
        </w:rPr>
        <w:t xml:space="preserve"> samazinoties atlīdzības izmaksu daļai pret</w:t>
      </w:r>
      <w:r w:rsidR="00E46B41" w:rsidRPr="007A55A2">
        <w:rPr>
          <w:rFonts w:ascii="Times New Roman" w:hAnsi="Times New Roman" w:cs="Times New Roman"/>
          <w:color w:val="000000" w:themeColor="text1"/>
          <w:lang w:val="lv-LV"/>
        </w:rPr>
        <w:t xml:space="preserve"> tiešajām izmaksām</w:t>
      </w:r>
      <w:r w:rsidR="00F02006" w:rsidRPr="007A55A2">
        <w:rPr>
          <w:rFonts w:ascii="Times New Roman" w:hAnsi="Times New Roman" w:cs="Times New Roman"/>
          <w:color w:val="000000" w:themeColor="text1"/>
          <w:lang w:val="lv-LV"/>
        </w:rPr>
        <w:t xml:space="preserve"> (no tiešajām izmaksām izslēgtas ārējo pakalpojumu izmaksas)</w:t>
      </w:r>
      <w:r w:rsidR="00090C55" w:rsidRPr="007A55A2">
        <w:rPr>
          <w:rFonts w:ascii="Times New Roman" w:hAnsi="Times New Roman" w:cs="Times New Roman"/>
          <w:color w:val="000000" w:themeColor="text1"/>
          <w:lang w:val="lv-LV"/>
        </w:rPr>
        <w:t xml:space="preserve">. </w:t>
      </w:r>
      <w:r w:rsidR="00E46B41" w:rsidRPr="007A55A2">
        <w:rPr>
          <w:rFonts w:ascii="Times New Roman" w:hAnsi="Times New Roman" w:cs="Times New Roman"/>
          <w:color w:val="000000" w:themeColor="text1"/>
          <w:lang w:val="lv-LV"/>
        </w:rPr>
        <w:t xml:space="preserve">FLPP 2024/1 konkursa finansēto projektu </w:t>
      </w:r>
      <w:r w:rsidR="00090C55" w:rsidRPr="007A55A2">
        <w:rPr>
          <w:rFonts w:ascii="Times New Roman" w:hAnsi="Times New Roman" w:cs="Times New Roman"/>
          <w:color w:val="000000" w:themeColor="text1"/>
          <w:lang w:val="lv-LV"/>
        </w:rPr>
        <w:t>iesniedzēji visbiežāk ir plānojuši atlīdzības izmaks</w:t>
      </w:r>
      <w:r w:rsidR="00A7262B" w:rsidRPr="007A55A2">
        <w:rPr>
          <w:rFonts w:ascii="Times New Roman" w:hAnsi="Times New Roman" w:cs="Times New Roman"/>
          <w:color w:val="000000" w:themeColor="text1"/>
          <w:lang w:val="lv-LV"/>
        </w:rPr>
        <w:t>as</w:t>
      </w:r>
      <w:r w:rsidR="00090C55" w:rsidRPr="007A55A2">
        <w:rPr>
          <w:rFonts w:ascii="Times New Roman" w:hAnsi="Times New Roman" w:cs="Times New Roman"/>
          <w:color w:val="000000" w:themeColor="text1"/>
          <w:lang w:val="lv-LV"/>
        </w:rPr>
        <w:t xml:space="preserve"> 80-95% no visām tiešajām izmaksām, kas ļāvis saglabāt 12-14,5% netieš</w:t>
      </w:r>
      <w:r w:rsidR="00A7262B" w:rsidRPr="007A55A2">
        <w:rPr>
          <w:rFonts w:ascii="Times New Roman" w:hAnsi="Times New Roman" w:cs="Times New Roman"/>
          <w:color w:val="000000" w:themeColor="text1"/>
          <w:lang w:val="lv-LV"/>
        </w:rPr>
        <w:t>aj</w:t>
      </w:r>
      <w:r w:rsidR="00090C55" w:rsidRPr="007A55A2">
        <w:rPr>
          <w:rFonts w:ascii="Times New Roman" w:hAnsi="Times New Roman" w:cs="Times New Roman"/>
          <w:color w:val="000000" w:themeColor="text1"/>
          <w:lang w:val="lv-LV"/>
        </w:rPr>
        <w:t>ās izmaks</w:t>
      </w:r>
      <w:r w:rsidR="00A7262B" w:rsidRPr="007A55A2">
        <w:rPr>
          <w:rFonts w:ascii="Times New Roman" w:hAnsi="Times New Roman" w:cs="Times New Roman"/>
          <w:color w:val="000000" w:themeColor="text1"/>
          <w:lang w:val="lv-LV"/>
        </w:rPr>
        <w:t>ā</w:t>
      </w:r>
      <w:r w:rsidR="00090C55" w:rsidRPr="007A55A2">
        <w:rPr>
          <w:rFonts w:ascii="Times New Roman" w:hAnsi="Times New Roman" w:cs="Times New Roman"/>
          <w:color w:val="000000" w:themeColor="text1"/>
          <w:lang w:val="lv-LV"/>
        </w:rPr>
        <w:t xml:space="preserve">s </w:t>
      </w:r>
      <w:r w:rsidR="00A7262B" w:rsidRPr="007A55A2">
        <w:rPr>
          <w:rFonts w:ascii="Times New Roman" w:hAnsi="Times New Roman" w:cs="Times New Roman"/>
          <w:color w:val="000000" w:themeColor="text1"/>
          <w:lang w:val="lv-LV"/>
        </w:rPr>
        <w:t xml:space="preserve">attiecībā </w:t>
      </w:r>
      <w:r w:rsidR="00090C55" w:rsidRPr="007A55A2">
        <w:rPr>
          <w:rFonts w:ascii="Times New Roman" w:hAnsi="Times New Roman" w:cs="Times New Roman"/>
          <w:color w:val="000000" w:themeColor="text1"/>
          <w:lang w:val="lv-LV"/>
        </w:rPr>
        <w:t>pret tiešajām izmaksām.</w:t>
      </w:r>
      <w:r w:rsidR="0089750E" w:rsidRPr="007A55A2">
        <w:rPr>
          <w:rFonts w:ascii="Times New Roman" w:hAnsi="Times New Roman" w:cs="Times New Roman"/>
          <w:color w:val="000000" w:themeColor="text1"/>
          <w:lang w:val="lv-LV"/>
        </w:rPr>
        <w:t xml:space="preserve"> Mazāka projektu daļa </w:t>
      </w:r>
      <w:r w:rsidR="00D51557" w:rsidRPr="007A55A2">
        <w:rPr>
          <w:rFonts w:ascii="Times New Roman" w:hAnsi="Times New Roman" w:cs="Times New Roman"/>
          <w:color w:val="000000" w:themeColor="text1"/>
          <w:lang w:val="lv-LV"/>
        </w:rPr>
        <w:t xml:space="preserve">atlīdzībai </w:t>
      </w:r>
      <w:r w:rsidR="0089750E" w:rsidRPr="007A55A2">
        <w:rPr>
          <w:rFonts w:ascii="Times New Roman" w:hAnsi="Times New Roman" w:cs="Times New Roman"/>
          <w:color w:val="000000" w:themeColor="text1"/>
          <w:lang w:val="lv-LV"/>
        </w:rPr>
        <w:t xml:space="preserve">paredz 70-80% no tiešajām izmaksām, kas rezultējās 10,5-12% </w:t>
      </w:r>
      <w:r w:rsidR="00D51557" w:rsidRPr="007A55A2">
        <w:rPr>
          <w:rFonts w:ascii="Times New Roman" w:hAnsi="Times New Roman" w:cs="Times New Roman"/>
          <w:color w:val="000000" w:themeColor="text1"/>
          <w:lang w:val="lv-LV"/>
        </w:rPr>
        <w:t xml:space="preserve">apjomu </w:t>
      </w:r>
      <w:r w:rsidR="0089750E" w:rsidRPr="007A55A2">
        <w:rPr>
          <w:rFonts w:ascii="Times New Roman" w:hAnsi="Times New Roman" w:cs="Times New Roman"/>
          <w:color w:val="000000" w:themeColor="text1"/>
          <w:lang w:val="lv-LV"/>
        </w:rPr>
        <w:t xml:space="preserve">netiešajās izmaksās un tikai atsevišķi </w:t>
      </w:r>
      <w:r w:rsidR="009A154C" w:rsidRPr="007A55A2">
        <w:rPr>
          <w:rFonts w:ascii="Times New Roman" w:hAnsi="Times New Roman" w:cs="Times New Roman"/>
          <w:color w:val="000000" w:themeColor="text1"/>
          <w:lang w:val="lv-LV"/>
        </w:rPr>
        <w:t xml:space="preserve">divi </w:t>
      </w:r>
      <w:r w:rsidR="0089750E" w:rsidRPr="007A55A2">
        <w:rPr>
          <w:rFonts w:ascii="Times New Roman" w:hAnsi="Times New Roman" w:cs="Times New Roman"/>
          <w:color w:val="000000" w:themeColor="text1"/>
          <w:lang w:val="lv-LV"/>
        </w:rPr>
        <w:t xml:space="preserve">projekti </w:t>
      </w:r>
      <w:r w:rsidR="00D51557" w:rsidRPr="007A55A2">
        <w:rPr>
          <w:rFonts w:ascii="Times New Roman" w:hAnsi="Times New Roman" w:cs="Times New Roman"/>
          <w:color w:val="000000" w:themeColor="text1"/>
          <w:lang w:val="lv-LV"/>
        </w:rPr>
        <w:t xml:space="preserve">atlīdzībai </w:t>
      </w:r>
      <w:r w:rsidR="0089750E" w:rsidRPr="007A55A2">
        <w:rPr>
          <w:rFonts w:ascii="Times New Roman" w:hAnsi="Times New Roman" w:cs="Times New Roman"/>
          <w:color w:val="000000" w:themeColor="text1"/>
          <w:lang w:val="lv-LV"/>
        </w:rPr>
        <w:t>paredz mazāk</w:t>
      </w:r>
      <w:r w:rsidR="00D51557" w:rsidRPr="007A55A2">
        <w:rPr>
          <w:rFonts w:ascii="Times New Roman" w:hAnsi="Times New Roman" w:cs="Times New Roman"/>
          <w:color w:val="000000" w:themeColor="text1"/>
          <w:lang w:val="lv-LV"/>
        </w:rPr>
        <w:t>u apjomu</w:t>
      </w:r>
      <w:r w:rsidR="0089750E" w:rsidRPr="007A55A2">
        <w:rPr>
          <w:rFonts w:ascii="Times New Roman" w:hAnsi="Times New Roman" w:cs="Times New Roman"/>
          <w:color w:val="000000" w:themeColor="text1"/>
          <w:lang w:val="lv-LV"/>
        </w:rPr>
        <w:t xml:space="preserve"> </w:t>
      </w:r>
      <w:r w:rsidR="00D51557" w:rsidRPr="007A55A2">
        <w:rPr>
          <w:rFonts w:ascii="Times New Roman" w:hAnsi="Times New Roman" w:cs="Times New Roman"/>
          <w:color w:val="000000" w:themeColor="text1"/>
          <w:lang w:val="lv-LV"/>
        </w:rPr>
        <w:t xml:space="preserve">(attiecīgi </w:t>
      </w:r>
      <w:r w:rsidR="009A154C" w:rsidRPr="007A55A2">
        <w:rPr>
          <w:rFonts w:ascii="Times New Roman" w:hAnsi="Times New Roman" w:cs="Times New Roman"/>
          <w:color w:val="000000" w:themeColor="text1"/>
          <w:lang w:val="lv-LV"/>
        </w:rPr>
        <w:t>61,0% un 68,0%</w:t>
      </w:r>
      <w:r w:rsidR="00D51557" w:rsidRPr="007A55A2">
        <w:rPr>
          <w:rFonts w:ascii="Times New Roman" w:hAnsi="Times New Roman" w:cs="Times New Roman"/>
          <w:color w:val="000000" w:themeColor="text1"/>
          <w:lang w:val="lv-LV"/>
        </w:rPr>
        <w:t>)</w:t>
      </w:r>
      <w:r w:rsidR="0089750E" w:rsidRPr="007A55A2">
        <w:rPr>
          <w:rFonts w:ascii="Times New Roman" w:hAnsi="Times New Roman" w:cs="Times New Roman"/>
          <w:color w:val="000000" w:themeColor="text1"/>
          <w:lang w:val="lv-LV"/>
        </w:rPr>
        <w:t xml:space="preserve"> </w:t>
      </w:r>
      <w:r w:rsidR="009A154C" w:rsidRPr="007A55A2">
        <w:rPr>
          <w:rFonts w:ascii="Times New Roman" w:hAnsi="Times New Roman" w:cs="Times New Roman"/>
          <w:color w:val="000000" w:themeColor="text1"/>
          <w:lang w:val="lv-LV"/>
        </w:rPr>
        <w:t xml:space="preserve">un attiecīgi 9,2% un 10,2% </w:t>
      </w:r>
      <w:r w:rsidR="00D51557" w:rsidRPr="007A55A2">
        <w:rPr>
          <w:rFonts w:ascii="Times New Roman" w:hAnsi="Times New Roman" w:cs="Times New Roman"/>
          <w:color w:val="000000" w:themeColor="text1"/>
          <w:lang w:val="lv-LV"/>
        </w:rPr>
        <w:t xml:space="preserve">apjomu </w:t>
      </w:r>
      <w:r w:rsidR="009A154C" w:rsidRPr="007A55A2">
        <w:rPr>
          <w:rFonts w:ascii="Times New Roman" w:hAnsi="Times New Roman" w:cs="Times New Roman"/>
          <w:color w:val="000000" w:themeColor="text1"/>
          <w:lang w:val="lv-LV"/>
        </w:rPr>
        <w:t>netieš</w:t>
      </w:r>
      <w:r w:rsidR="00D51557" w:rsidRPr="007A55A2">
        <w:rPr>
          <w:rFonts w:ascii="Times New Roman" w:hAnsi="Times New Roman" w:cs="Times New Roman"/>
          <w:color w:val="000000" w:themeColor="text1"/>
          <w:lang w:val="lv-LV"/>
        </w:rPr>
        <w:t>aj</w:t>
      </w:r>
      <w:r w:rsidR="009A154C" w:rsidRPr="007A55A2">
        <w:rPr>
          <w:rFonts w:ascii="Times New Roman" w:hAnsi="Times New Roman" w:cs="Times New Roman"/>
          <w:color w:val="000000" w:themeColor="text1"/>
          <w:lang w:val="lv-LV"/>
        </w:rPr>
        <w:t>ās izmak</w:t>
      </w:r>
      <w:r w:rsidR="00D51557" w:rsidRPr="007A55A2">
        <w:rPr>
          <w:rFonts w:ascii="Times New Roman" w:hAnsi="Times New Roman" w:cs="Times New Roman"/>
          <w:color w:val="000000" w:themeColor="text1"/>
          <w:lang w:val="lv-LV"/>
        </w:rPr>
        <w:t>sā</w:t>
      </w:r>
      <w:r w:rsidR="009A154C" w:rsidRPr="007A55A2">
        <w:rPr>
          <w:rFonts w:ascii="Times New Roman" w:hAnsi="Times New Roman" w:cs="Times New Roman"/>
          <w:color w:val="000000" w:themeColor="text1"/>
          <w:lang w:val="lv-LV"/>
        </w:rPr>
        <w:t xml:space="preserve">s. </w:t>
      </w:r>
      <w:r w:rsidR="00D51557" w:rsidRPr="007A55A2">
        <w:rPr>
          <w:rFonts w:ascii="Times New Roman" w:hAnsi="Times New Roman" w:cs="Times New Roman"/>
          <w:color w:val="000000" w:themeColor="text1"/>
          <w:lang w:val="lv-LV"/>
        </w:rPr>
        <w:t>FLPP 2024/1 finansētajos konkursa projektos v</w:t>
      </w:r>
      <w:r w:rsidR="00A23A61" w:rsidRPr="007A55A2">
        <w:rPr>
          <w:rFonts w:ascii="Times New Roman" w:hAnsi="Times New Roman" w:cs="Times New Roman"/>
          <w:color w:val="000000" w:themeColor="text1"/>
          <w:lang w:val="lv-LV"/>
        </w:rPr>
        <w:t>idēji 8</w:t>
      </w:r>
      <w:r w:rsidR="009A154C" w:rsidRPr="007A55A2">
        <w:rPr>
          <w:rFonts w:ascii="Times New Roman" w:hAnsi="Times New Roman" w:cs="Times New Roman"/>
          <w:color w:val="000000" w:themeColor="text1"/>
          <w:lang w:val="lv-LV"/>
        </w:rPr>
        <w:t>7</w:t>
      </w:r>
      <w:r w:rsidR="00A23A61" w:rsidRPr="007A55A2">
        <w:rPr>
          <w:rFonts w:ascii="Times New Roman" w:hAnsi="Times New Roman" w:cs="Times New Roman"/>
          <w:color w:val="000000" w:themeColor="text1"/>
          <w:lang w:val="lv-LV"/>
        </w:rPr>
        <w:t>,</w:t>
      </w:r>
      <w:r w:rsidR="009A154C" w:rsidRPr="007A55A2">
        <w:rPr>
          <w:rFonts w:ascii="Times New Roman" w:hAnsi="Times New Roman" w:cs="Times New Roman"/>
          <w:color w:val="000000" w:themeColor="text1"/>
          <w:lang w:val="lv-LV"/>
        </w:rPr>
        <w:t>1</w:t>
      </w:r>
      <w:r w:rsidR="00A23A61" w:rsidRPr="007A55A2">
        <w:rPr>
          <w:rFonts w:ascii="Times New Roman" w:hAnsi="Times New Roman" w:cs="Times New Roman"/>
          <w:color w:val="000000" w:themeColor="text1"/>
          <w:lang w:val="lv-LV"/>
        </w:rPr>
        <w:t>% no visiem tiešajiem izdevumiem</w:t>
      </w:r>
      <w:r w:rsidR="009A154C" w:rsidRPr="007A55A2">
        <w:rPr>
          <w:rFonts w:ascii="Times New Roman" w:hAnsi="Times New Roman" w:cs="Times New Roman"/>
          <w:color w:val="000000" w:themeColor="text1"/>
          <w:lang w:val="lv-LV"/>
        </w:rPr>
        <w:t>, izslēdzot ārpakalpojumu izmaksas,</w:t>
      </w:r>
      <w:r w:rsidR="00A23A61" w:rsidRPr="007A55A2">
        <w:rPr>
          <w:rFonts w:ascii="Times New Roman" w:hAnsi="Times New Roman" w:cs="Times New Roman"/>
          <w:color w:val="000000" w:themeColor="text1"/>
          <w:lang w:val="lv-LV"/>
        </w:rPr>
        <w:t xml:space="preserve"> tika paredzēti tieši atlīdzības izdevumiem.</w:t>
      </w:r>
      <w:r w:rsidR="00F81940" w:rsidRPr="007A55A2">
        <w:rPr>
          <w:rFonts w:ascii="Times New Roman" w:hAnsi="Times New Roman" w:cs="Times New Roman"/>
          <w:color w:val="000000" w:themeColor="text1"/>
          <w:lang w:val="lv-LV"/>
        </w:rPr>
        <w:t xml:space="preserve"> Kā parādīts Tabulā 2, tad </w:t>
      </w:r>
      <w:r w:rsidR="00816EB3" w:rsidRPr="007A55A2">
        <w:rPr>
          <w:rFonts w:ascii="Times New Roman" w:hAnsi="Times New Roman" w:cs="Times New Roman"/>
          <w:color w:val="000000" w:themeColor="text1"/>
          <w:lang w:val="lv-LV"/>
        </w:rPr>
        <w:t xml:space="preserve">arī FLPP 2025/1 situācija </w:t>
      </w:r>
      <w:r w:rsidR="007B3FBA" w:rsidRPr="007A55A2">
        <w:rPr>
          <w:rFonts w:ascii="Times New Roman" w:hAnsi="Times New Roman" w:cs="Times New Roman"/>
          <w:color w:val="000000" w:themeColor="text1"/>
          <w:lang w:val="lv-LV"/>
        </w:rPr>
        <w:t>saglabājas līdzīga</w:t>
      </w:r>
      <w:r w:rsidR="007E7095" w:rsidRPr="007A55A2">
        <w:rPr>
          <w:rFonts w:ascii="Times New Roman" w:hAnsi="Times New Roman" w:cs="Times New Roman"/>
          <w:color w:val="000000" w:themeColor="text1"/>
          <w:lang w:val="lv-LV"/>
        </w:rPr>
        <w:t>, n</w:t>
      </w:r>
      <w:r w:rsidR="00D84905" w:rsidRPr="007A55A2">
        <w:rPr>
          <w:rFonts w:ascii="Times New Roman" w:hAnsi="Times New Roman" w:cs="Times New Roman"/>
          <w:color w:val="000000" w:themeColor="text1"/>
          <w:lang w:val="lv-LV"/>
        </w:rPr>
        <w:t>etiešajām izmaksām paliekot 15% no atlīdzības izmaksām</w:t>
      </w:r>
      <w:r w:rsidR="007E7095" w:rsidRPr="007A55A2">
        <w:rPr>
          <w:rFonts w:ascii="Times New Roman" w:hAnsi="Times New Roman" w:cs="Times New Roman"/>
          <w:color w:val="000000" w:themeColor="text1"/>
          <w:lang w:val="lv-LV"/>
        </w:rPr>
        <w:t>.</w:t>
      </w:r>
      <w:r w:rsidR="00D84905" w:rsidRPr="007A55A2">
        <w:rPr>
          <w:rFonts w:ascii="Times New Roman" w:hAnsi="Times New Roman" w:cs="Times New Roman"/>
          <w:color w:val="000000" w:themeColor="text1"/>
          <w:lang w:val="lv-LV"/>
        </w:rPr>
        <w:t xml:space="preserve"> </w:t>
      </w:r>
      <w:r w:rsidR="007E7095" w:rsidRPr="007A55A2">
        <w:rPr>
          <w:rFonts w:ascii="Times New Roman" w:hAnsi="Times New Roman" w:cs="Times New Roman"/>
          <w:color w:val="000000" w:themeColor="text1"/>
          <w:lang w:val="lv-LV"/>
        </w:rPr>
        <w:t>N</w:t>
      </w:r>
      <w:r w:rsidR="00D84905" w:rsidRPr="007A55A2">
        <w:rPr>
          <w:rFonts w:ascii="Times New Roman" w:hAnsi="Times New Roman" w:cs="Times New Roman"/>
          <w:color w:val="000000" w:themeColor="text1"/>
          <w:lang w:val="lv-LV"/>
        </w:rPr>
        <w:t>etiešo izmaks</w:t>
      </w:r>
      <w:r w:rsidR="00D73AB2" w:rsidRPr="007A55A2">
        <w:rPr>
          <w:rFonts w:ascii="Times New Roman" w:hAnsi="Times New Roman" w:cs="Times New Roman"/>
          <w:color w:val="000000" w:themeColor="text1"/>
          <w:lang w:val="lv-LV"/>
        </w:rPr>
        <w:t>u daļa ir vidēji samazinājusies tikai par 0,2%</w:t>
      </w:r>
      <w:r w:rsidR="00D27309" w:rsidRPr="007A55A2">
        <w:rPr>
          <w:rFonts w:ascii="Times New Roman" w:hAnsi="Times New Roman" w:cs="Times New Roman"/>
          <w:color w:val="000000" w:themeColor="text1"/>
          <w:lang w:val="lv-LV"/>
        </w:rPr>
        <w:t xml:space="preserve"> pret tiešajām izmaksām vai visu projekta budžetu.</w:t>
      </w:r>
      <w:r w:rsidR="00EE5639" w:rsidRPr="007A55A2">
        <w:rPr>
          <w:rFonts w:ascii="Times New Roman" w:hAnsi="Times New Roman" w:cs="Times New Roman"/>
          <w:color w:val="000000" w:themeColor="text1"/>
          <w:lang w:val="lv-LV"/>
        </w:rPr>
        <w:t xml:space="preserve"> FLPP </w:t>
      </w:r>
      <w:r w:rsidR="00713BA9" w:rsidRPr="007A55A2">
        <w:rPr>
          <w:rFonts w:ascii="Times New Roman" w:hAnsi="Times New Roman" w:cs="Times New Roman"/>
          <w:color w:val="000000" w:themeColor="text1"/>
          <w:lang w:val="lv-LV"/>
        </w:rPr>
        <w:t>2025/1 konkursa finansētajos projektos attiecīgi nedaudz ir pieauguši pa</w:t>
      </w:r>
      <w:r w:rsidR="00FC0B3F" w:rsidRPr="007A55A2">
        <w:rPr>
          <w:rFonts w:ascii="Times New Roman" w:hAnsi="Times New Roman" w:cs="Times New Roman"/>
          <w:color w:val="000000" w:themeColor="text1"/>
          <w:lang w:val="lv-LV"/>
        </w:rPr>
        <w:t>redzētie citi tiešie izdevumi</w:t>
      </w:r>
      <w:r w:rsidR="00FE4A40" w:rsidRPr="007A55A2">
        <w:rPr>
          <w:rFonts w:ascii="Times New Roman" w:hAnsi="Times New Roman" w:cs="Times New Roman"/>
          <w:color w:val="000000" w:themeColor="text1"/>
          <w:lang w:val="lv-LV"/>
        </w:rPr>
        <w:t>: l</w:t>
      </w:r>
      <w:r w:rsidR="007C1325" w:rsidRPr="007A55A2">
        <w:rPr>
          <w:rFonts w:ascii="Times New Roman" w:hAnsi="Times New Roman" w:cs="Times New Roman"/>
          <w:color w:val="000000" w:themeColor="text1"/>
          <w:lang w:val="lv-LV"/>
        </w:rPr>
        <w:t>aboratorijas</w:t>
      </w:r>
      <w:r w:rsidR="00FE4A40" w:rsidRPr="007A55A2">
        <w:rPr>
          <w:rFonts w:ascii="Times New Roman" w:hAnsi="Times New Roman" w:cs="Times New Roman"/>
          <w:color w:val="000000" w:themeColor="text1"/>
          <w:lang w:val="lv-LV"/>
        </w:rPr>
        <w:t xml:space="preserve"> piederumi, publicēšanās izmaksas, komandējumi, amortizācija</w:t>
      </w:r>
      <w:r w:rsidR="00894061" w:rsidRPr="007A55A2">
        <w:rPr>
          <w:rFonts w:ascii="Times New Roman" w:hAnsi="Times New Roman" w:cs="Times New Roman"/>
          <w:color w:val="000000" w:themeColor="text1"/>
          <w:lang w:val="lv-LV"/>
        </w:rPr>
        <w:t xml:space="preserve"> un citi izdevumi</w:t>
      </w:r>
      <w:r w:rsidR="00FE4A40" w:rsidRPr="007A55A2">
        <w:rPr>
          <w:rFonts w:ascii="Times New Roman" w:hAnsi="Times New Roman" w:cs="Times New Roman"/>
          <w:color w:val="000000" w:themeColor="text1"/>
          <w:lang w:val="lv-LV"/>
        </w:rPr>
        <w:t>.</w:t>
      </w:r>
    </w:p>
    <w:p w14:paraId="039613C2" w14:textId="527878AF" w:rsidR="004B4B7E" w:rsidRPr="007A55A2" w:rsidRDefault="009A154C" w:rsidP="006A5B1B">
      <w:pPr>
        <w:keepNext/>
        <w:keepLines/>
        <w:ind w:right="-6"/>
        <w:jc w:val="center"/>
        <w:rPr>
          <w:rFonts w:ascii="Times New Roman" w:hAnsi="Times New Roman" w:cs="Times New Roman"/>
          <w:color w:val="000000" w:themeColor="text1"/>
          <w:lang w:val="lv-LV"/>
        </w:rPr>
      </w:pPr>
      <w:r w:rsidRPr="007A55A2">
        <w:rPr>
          <w:rFonts w:ascii="Times New Roman" w:hAnsi="Times New Roman" w:cs="Times New Roman"/>
          <w:noProof/>
          <w:color w:val="000000" w:themeColor="text1"/>
          <w:lang w:val="lv-LV"/>
        </w:rPr>
        <w:drawing>
          <wp:inline distT="0" distB="0" distL="0" distR="0" wp14:anchorId="1FE84305" wp14:editId="63EB3D6D">
            <wp:extent cx="5250964" cy="3475355"/>
            <wp:effectExtent l="0" t="0" r="6985" b="0"/>
            <wp:docPr id="188563227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0966" cy="3481975"/>
                    </a:xfrm>
                    <a:prstGeom prst="rect">
                      <a:avLst/>
                    </a:prstGeom>
                    <a:noFill/>
                  </pic:spPr>
                </pic:pic>
              </a:graphicData>
            </a:graphic>
          </wp:inline>
        </w:drawing>
      </w:r>
    </w:p>
    <w:p w14:paraId="428CA5BA" w14:textId="1BA7DB6B" w:rsidR="004B4B7E" w:rsidRPr="007A55A2" w:rsidRDefault="004B4B7E" w:rsidP="00A743DD">
      <w:pPr>
        <w:spacing w:after="360"/>
        <w:ind w:right="-6"/>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Attēls 1. Netiešo izmaksu daļa no tiešajām izmaksām atkarībā no atlīdzības daļas no tiešajām izmaksām</w:t>
      </w:r>
      <w:r w:rsidR="00491323" w:rsidRPr="007A55A2">
        <w:rPr>
          <w:rFonts w:ascii="Times New Roman" w:hAnsi="Times New Roman" w:cs="Times New Roman"/>
          <w:color w:val="000000" w:themeColor="text1"/>
          <w:lang w:val="lv-LV"/>
        </w:rPr>
        <w:t xml:space="preserve"> (no tiešajām izmaksām izslēgtas ārējo pakalpojumu izmaksas)</w:t>
      </w:r>
      <w:r w:rsidRPr="007A55A2">
        <w:rPr>
          <w:rFonts w:ascii="Times New Roman" w:hAnsi="Times New Roman" w:cs="Times New Roman"/>
          <w:color w:val="000000" w:themeColor="text1"/>
          <w:lang w:val="lv-LV"/>
        </w:rPr>
        <w:t xml:space="preserve">, </w:t>
      </w:r>
      <w:r w:rsidR="009A154C" w:rsidRPr="007A55A2">
        <w:rPr>
          <w:rFonts w:ascii="Times New Roman" w:hAnsi="Times New Roman" w:cs="Times New Roman"/>
          <w:color w:val="000000" w:themeColor="text1"/>
          <w:lang w:val="lv-LV"/>
        </w:rPr>
        <w:br/>
      </w:r>
      <w:r w:rsidRPr="007A55A2">
        <w:rPr>
          <w:rFonts w:ascii="Times New Roman" w:hAnsi="Times New Roman" w:cs="Times New Roman"/>
          <w:color w:val="000000" w:themeColor="text1"/>
          <w:lang w:val="lv-LV"/>
        </w:rPr>
        <w:t>FLPP 2024/1 konkursa finansēto projektu sadalījums.</w:t>
      </w:r>
    </w:p>
    <w:p w14:paraId="490CF5B8" w14:textId="77777777" w:rsidR="00EA211D" w:rsidRPr="007A55A2" w:rsidRDefault="00EA211D" w:rsidP="00EA211D">
      <w:pPr>
        <w:ind w:right="-6"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Skatot netiešo izmaksu daļu vienīgajā VPP “Latvijas kultūra – resurss valsts attīstībai” projektā, kurā šīs izmaksas tika aprēķināta kā daļa no atlīdzības izmaksām, arī konstatējams, ka atlīdzības izmaksas sastāda pietiekami lielu daļu no tiešajām izmaksām, kas ļauj saglābāt 12,5% netiešo izmaksu daļu pret visām tiešajām izmaksām.</w:t>
      </w:r>
    </w:p>
    <w:p w14:paraId="113B7209" w14:textId="77777777" w:rsidR="00EA211D" w:rsidRPr="007A55A2" w:rsidRDefault="00EA211D" w:rsidP="00EA211D">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lastRenderedPageBreak/>
        <w:t xml:space="preserve">Līdz ar to VPP un FLPP projekti, kuros ir paredzēta tieši lielāka daļa citiem tiešajiem izmaksu veidiem, izņemot zinātniskās grupas locekļu atlīdzības izmaksu daļu, ir mazāk izdevīga zinātniskajām institūcijām, jo ir mazāk resursu, ar ko tām “apkalpot” šos projektus jeb, kā norādīts attiecīgajos nolikumos, institūcijas “… </w:t>
      </w:r>
      <w:r w:rsidRPr="007A55A2">
        <w:rPr>
          <w:rFonts w:ascii="Times New Roman" w:hAnsi="Times New Roman" w:cs="Times New Roman"/>
          <w:i/>
          <w:iCs/>
          <w:color w:val="000000" w:themeColor="text1"/>
          <w:lang w:val="lv-LV"/>
        </w:rPr>
        <w:t>atbalsta un nodrošina atbilstošus apstākļus atbalstāmo darbību īstenošanai un rezultātu sasniegšanai</w:t>
      </w:r>
      <w:r w:rsidRPr="007A55A2">
        <w:rPr>
          <w:rFonts w:ascii="Times New Roman" w:hAnsi="Times New Roman" w:cs="Times New Roman"/>
          <w:color w:val="000000" w:themeColor="text1"/>
          <w:lang w:val="lv-LV"/>
        </w:rPr>
        <w:t>…”, kā arī netiek atbalstīts šo institūciju kapacitātes pieaugums. Tas var veicināt institūciju administrācijas spiedienu uz projektu sagatavotājiem – zinātniekiem projekta līdzekļus pamatā paredzēt tieši zinātniskās grupas locekļu atlīdzības izmaksām, līdz minimumam samazinot cita veida tiešās attiecināmās izmaksas. Tas savukārt var apgrūtināt tādu FLPP un VPP projektu īstenošanu un mērķu sasniegšanu, kuros izdevumi cita veida, izņemot atlīdzību, tiešo attiecināmo izmaksu segšana ir būtiska. Tas var atsaukties arī uz šādu projektu īstenošanas kvalitāti.</w:t>
      </w:r>
    </w:p>
    <w:p w14:paraId="037E8746" w14:textId="4CE857FC" w:rsidR="00FC6351" w:rsidRPr="007A55A2" w:rsidRDefault="00710E04" w:rsidP="005449AC">
      <w:pPr>
        <w:keepNext/>
        <w:keepLines/>
        <w:spacing w:before="480"/>
        <w:ind w:right="-6"/>
        <w:jc w:val="center"/>
        <w:rPr>
          <w:rFonts w:ascii="Times New Roman" w:hAnsi="Times New Roman" w:cs="Times New Roman"/>
          <w:b/>
          <w:bCs/>
          <w:color w:val="000000" w:themeColor="text1"/>
          <w:lang w:val="lv-LV"/>
        </w:rPr>
      </w:pPr>
      <w:bookmarkStart w:id="1" w:name="_Hlk180764012"/>
      <w:r w:rsidRPr="007A55A2">
        <w:rPr>
          <w:rFonts w:ascii="Times New Roman" w:hAnsi="Times New Roman" w:cs="Times New Roman"/>
          <w:b/>
          <w:bCs/>
          <w:color w:val="000000" w:themeColor="text1"/>
          <w:lang w:val="lv-LV"/>
        </w:rPr>
        <w:t>Eiropas Savienības struktūrfondu līdzfinansēt</w:t>
      </w:r>
      <w:r w:rsidR="005F4FFD" w:rsidRPr="007A55A2">
        <w:rPr>
          <w:rFonts w:ascii="Times New Roman" w:hAnsi="Times New Roman" w:cs="Times New Roman"/>
          <w:b/>
          <w:bCs/>
          <w:color w:val="000000" w:themeColor="text1"/>
          <w:lang w:val="lv-LV"/>
        </w:rPr>
        <w:t>as</w:t>
      </w:r>
      <w:r w:rsidR="00C56E2A" w:rsidRPr="007A55A2">
        <w:rPr>
          <w:rFonts w:ascii="Times New Roman" w:hAnsi="Times New Roman" w:cs="Times New Roman"/>
          <w:b/>
          <w:bCs/>
          <w:color w:val="000000" w:themeColor="text1"/>
          <w:lang w:val="lv-LV"/>
        </w:rPr>
        <w:t xml:space="preserve"> </w:t>
      </w:r>
      <w:bookmarkEnd w:id="1"/>
      <w:r w:rsidR="00C56E2A" w:rsidRPr="007A55A2">
        <w:rPr>
          <w:rFonts w:ascii="Times New Roman" w:hAnsi="Times New Roman" w:cs="Times New Roman"/>
          <w:b/>
          <w:bCs/>
          <w:color w:val="000000" w:themeColor="text1"/>
          <w:lang w:val="lv-LV"/>
        </w:rPr>
        <w:t>pētījumu programmas</w:t>
      </w:r>
    </w:p>
    <w:p w14:paraId="5BE97AAB" w14:textId="2BE86A97" w:rsidR="001872B1" w:rsidRPr="007A55A2" w:rsidRDefault="001872B1" w:rsidP="006A5B1B">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Pētījumu veikšanai </w:t>
      </w:r>
      <w:r w:rsidR="00D51557" w:rsidRPr="007A55A2">
        <w:rPr>
          <w:rFonts w:ascii="Times New Roman" w:hAnsi="Times New Roman" w:cs="Times New Roman"/>
          <w:color w:val="000000" w:themeColor="text1"/>
          <w:lang w:val="lv-LV"/>
        </w:rPr>
        <w:t xml:space="preserve">finansējums </w:t>
      </w:r>
      <w:r w:rsidRPr="007A55A2">
        <w:rPr>
          <w:rFonts w:ascii="Times New Roman" w:hAnsi="Times New Roman" w:cs="Times New Roman"/>
          <w:color w:val="000000" w:themeColor="text1"/>
          <w:lang w:val="lv-LV"/>
        </w:rPr>
        <w:t>bija paredzēts Eiropas Savienības fondu 2014.-2020. gada plānošanas perioda (projektu īstenošana noslēgusies) un ir paredzētas pašreizējā 2021.–2027. gada plānošanas perioda (ir izsludināti projektu konkursi) Eiropas Savienības struktūrfondu un Latvijas valsts budžeta līdzfinansēt</w:t>
      </w:r>
      <w:r w:rsidR="00E87A72" w:rsidRPr="007A55A2">
        <w:rPr>
          <w:rFonts w:ascii="Times New Roman" w:hAnsi="Times New Roman" w:cs="Times New Roman"/>
          <w:color w:val="000000" w:themeColor="text1"/>
          <w:lang w:val="lv-LV"/>
        </w:rPr>
        <w:t>ā</w:t>
      </w:r>
      <w:r w:rsidRPr="007A55A2">
        <w:rPr>
          <w:rFonts w:ascii="Times New Roman" w:hAnsi="Times New Roman" w:cs="Times New Roman"/>
          <w:color w:val="000000" w:themeColor="text1"/>
          <w:lang w:val="lv-LV"/>
        </w:rPr>
        <w:t>s pētniecības programm</w:t>
      </w:r>
      <w:r w:rsidR="00E87A72" w:rsidRPr="007A55A2">
        <w:rPr>
          <w:rFonts w:ascii="Times New Roman" w:hAnsi="Times New Roman" w:cs="Times New Roman"/>
          <w:color w:val="000000" w:themeColor="text1"/>
          <w:lang w:val="lv-LV"/>
        </w:rPr>
        <w:t>ā</w:t>
      </w:r>
      <w:r w:rsidRPr="007A55A2">
        <w:rPr>
          <w:rFonts w:ascii="Times New Roman" w:hAnsi="Times New Roman" w:cs="Times New Roman"/>
          <w:color w:val="000000" w:themeColor="text1"/>
          <w:lang w:val="lv-LV"/>
        </w:rPr>
        <w:t xml:space="preserve">s. </w:t>
      </w:r>
      <w:r w:rsidR="00113EC1" w:rsidRPr="007A55A2">
        <w:rPr>
          <w:rFonts w:ascii="Times New Roman" w:hAnsi="Times New Roman" w:cs="Times New Roman"/>
          <w:color w:val="000000" w:themeColor="text1"/>
          <w:lang w:val="lv-LV"/>
        </w:rPr>
        <w:t xml:space="preserve">Eiropas Savienības struktūrfondu līdzfinansētu programmu un projektu īstenošanu regulē </w:t>
      </w:r>
      <w:r w:rsidR="00B22AC4" w:rsidRPr="007A55A2">
        <w:rPr>
          <w:rFonts w:ascii="Times New Roman" w:hAnsi="Times New Roman" w:cs="Times New Roman"/>
          <w:color w:val="000000" w:themeColor="text1"/>
          <w:lang w:val="lv-LV"/>
        </w:rPr>
        <w:t>Eiropas Parlamenta un Padomes regula Nr. 1303/2013</w:t>
      </w:r>
      <w:r w:rsidR="00B22AC4" w:rsidRPr="007A55A2">
        <w:rPr>
          <w:rStyle w:val="FootnoteReference"/>
          <w:rFonts w:ascii="Times New Roman" w:hAnsi="Times New Roman" w:cs="Times New Roman"/>
          <w:color w:val="000000" w:themeColor="text1"/>
          <w:lang w:val="lv-LV"/>
        </w:rPr>
        <w:footnoteReference w:id="8"/>
      </w:r>
      <w:r w:rsidR="00E87A72" w:rsidRPr="007A55A2">
        <w:rPr>
          <w:rFonts w:ascii="Times New Roman" w:hAnsi="Times New Roman" w:cs="Times New Roman"/>
          <w:color w:val="000000" w:themeColor="text1"/>
          <w:lang w:val="lv-LV"/>
        </w:rPr>
        <w:t xml:space="preserve"> (turpmāk – regula)</w:t>
      </w:r>
      <w:r w:rsidR="00113EC1" w:rsidRPr="007A55A2">
        <w:rPr>
          <w:rFonts w:ascii="Times New Roman" w:hAnsi="Times New Roman" w:cs="Times New Roman"/>
          <w:color w:val="000000" w:themeColor="text1"/>
          <w:lang w:val="lv-LV"/>
        </w:rPr>
        <w:t>, kura paredz</w:t>
      </w:r>
      <w:r w:rsidRPr="007A55A2">
        <w:rPr>
          <w:rFonts w:ascii="Times New Roman" w:hAnsi="Times New Roman" w:cs="Times New Roman"/>
          <w:color w:val="000000" w:themeColor="text1"/>
          <w:lang w:val="lv-LV"/>
        </w:rPr>
        <w:t xml:space="preserve"> trīs veidu vienotās likmes netiešo izmaksu finansējumam:</w:t>
      </w:r>
    </w:p>
    <w:p w14:paraId="406CEC8B" w14:textId="01E575D8" w:rsidR="001872B1" w:rsidRPr="007A55A2" w:rsidRDefault="001872B1" w:rsidP="006A5B1B">
      <w:pPr>
        <w:ind w:left="851"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a) vienota likme līdz 25 % no atbilstīgajām tiešajām izmaksām ar noteikumu, ka likmi aprēķina, pamatojoties uz taisnīgu, godīgu un pārbaudāmu aprēķina metodi vai metodi, ko saskaņā ar shēmām attiecībā uz dotācijām, kuras pilnībā finansē dalībvalsts, piemēro līdzīga veida darbībai un atbalsta saņēmējam;</w:t>
      </w:r>
    </w:p>
    <w:p w14:paraId="3D07B11B" w14:textId="646F227C" w:rsidR="001872B1" w:rsidRPr="007A55A2" w:rsidRDefault="001872B1" w:rsidP="006A5B1B">
      <w:pPr>
        <w:ind w:left="851"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b) vienota likme līdz 15 % no atbilstīgajām tiešajām personāla izmaksām, neprasot dalībvalstij veikt nekādu aprēķinu, lai noteiktu piemērojamo likmi;</w:t>
      </w:r>
    </w:p>
    <w:p w14:paraId="7C5CC5AA" w14:textId="2C26B80A" w:rsidR="001872B1" w:rsidRPr="007A55A2" w:rsidRDefault="001872B1" w:rsidP="006A5B1B">
      <w:pPr>
        <w:ind w:left="851"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c) vienota likme, ko piemēro atbilstīgajām tiešajām izmaksām, pamatojoties uz pašreizējām metodēm un atbilstošajām likmēm, kas Savienības politikas virzienos piemērojamas līdzīga veida darbībai un atbalsta saņēmējam.</w:t>
      </w:r>
    </w:p>
    <w:p w14:paraId="181E0D4D" w14:textId="65DA9449" w:rsidR="001872B1" w:rsidRPr="007A55A2" w:rsidRDefault="001872B1" w:rsidP="006A5B1B">
      <w:pPr>
        <w:ind w:left="851"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Komisija tiek pilnvarota saskaņā ar 149. pantu pieņemt deleģētos aktus, lai papildinātu noteikumus par šā punkta pirmās daļas c) apakšpunktā minēto vienoto likmi un saistītajām metodēm.” (68. pants).</w:t>
      </w:r>
    </w:p>
    <w:p w14:paraId="2261062A" w14:textId="0E4DE7A5" w:rsidR="004D495E" w:rsidRPr="007A55A2" w:rsidRDefault="00113EC1" w:rsidP="006A5B1B">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Praktiskas ievirzes pētījumu projektu gadījumā MK noteikumu normas ir bāzētas uz regulas 68.a) pantu, kas netiešo izdevumu vienoto likmi saista ar tiešajām izmaksām. </w:t>
      </w:r>
      <w:r w:rsidR="00611D0C" w:rsidRPr="007A55A2">
        <w:rPr>
          <w:rFonts w:ascii="Times New Roman" w:hAnsi="Times New Roman" w:cs="Times New Roman"/>
          <w:color w:val="000000" w:themeColor="text1"/>
          <w:lang w:val="lv-LV"/>
        </w:rPr>
        <w:t>Iepriekšējā perioda programm</w:t>
      </w:r>
      <w:r w:rsidR="000569CF" w:rsidRPr="007A55A2">
        <w:rPr>
          <w:rFonts w:ascii="Times New Roman" w:hAnsi="Times New Roman" w:cs="Times New Roman"/>
          <w:color w:val="000000" w:themeColor="text1"/>
          <w:lang w:val="lv-LV"/>
        </w:rPr>
        <w:t>u</w:t>
      </w:r>
      <w:r w:rsidR="00611D0C" w:rsidRPr="007A55A2">
        <w:rPr>
          <w:rFonts w:ascii="Times New Roman" w:hAnsi="Times New Roman" w:cs="Times New Roman"/>
          <w:color w:val="000000" w:themeColor="text1"/>
          <w:lang w:val="lv-LV"/>
        </w:rPr>
        <w:t xml:space="preserve"> "Praktiskas ievirzes pētījumi" </w:t>
      </w:r>
      <w:r w:rsidR="000569CF" w:rsidRPr="007A55A2">
        <w:rPr>
          <w:rFonts w:ascii="Times New Roman" w:hAnsi="Times New Roman" w:cs="Times New Roman"/>
          <w:color w:val="000000" w:themeColor="text1"/>
          <w:lang w:val="lv-LV"/>
        </w:rPr>
        <w:t xml:space="preserve">regulējošie </w:t>
      </w:r>
      <w:r w:rsidR="003255CA" w:rsidRPr="007A55A2">
        <w:rPr>
          <w:rFonts w:ascii="Times New Roman" w:hAnsi="Times New Roman" w:cs="Times New Roman"/>
          <w:color w:val="000000" w:themeColor="text1"/>
          <w:lang w:val="lv-LV"/>
        </w:rPr>
        <w:t>MK</w:t>
      </w:r>
      <w:r w:rsidR="00CD3F6A" w:rsidRPr="007A55A2">
        <w:rPr>
          <w:rFonts w:ascii="Times New Roman" w:hAnsi="Times New Roman" w:cs="Times New Roman"/>
          <w:color w:val="000000" w:themeColor="text1"/>
          <w:lang w:val="lv-LV"/>
        </w:rPr>
        <w:t xml:space="preserve"> noteikumi Nr. </w:t>
      </w:r>
      <w:r w:rsidR="00CD3F6A" w:rsidRPr="007A55A2">
        <w:rPr>
          <w:rFonts w:ascii="Times New Roman" w:hAnsi="Times New Roman" w:cs="Times New Roman"/>
          <w:color w:val="000000" w:themeColor="text1"/>
          <w:lang w:val="lv-LV"/>
        </w:rPr>
        <w:lastRenderedPageBreak/>
        <w:t>34</w:t>
      </w:r>
      <w:r w:rsidR="003818D0" w:rsidRPr="007A55A2">
        <w:rPr>
          <w:rStyle w:val="FootnoteReference"/>
          <w:rFonts w:ascii="Times New Roman" w:hAnsi="Times New Roman" w:cs="Times New Roman"/>
          <w:color w:val="000000" w:themeColor="text1"/>
          <w:lang w:val="lv-LV"/>
        </w:rPr>
        <w:footnoteReference w:id="9"/>
      </w:r>
      <w:r w:rsidR="00E444C9" w:rsidRPr="007A55A2">
        <w:rPr>
          <w:rFonts w:ascii="Times New Roman" w:hAnsi="Times New Roman" w:cs="Times New Roman"/>
          <w:color w:val="000000" w:themeColor="text1"/>
          <w:lang w:val="lv-LV"/>
        </w:rPr>
        <w:t xml:space="preserve"> paredz, ka </w:t>
      </w:r>
      <w:r w:rsidR="00CD3F6A" w:rsidRPr="007A55A2">
        <w:rPr>
          <w:rFonts w:ascii="Times New Roman" w:hAnsi="Times New Roman" w:cs="Times New Roman"/>
          <w:color w:val="000000" w:themeColor="text1"/>
          <w:lang w:val="lv-LV"/>
        </w:rPr>
        <w:t xml:space="preserve">"Praktiskas ievirzes pētījumi" </w:t>
      </w:r>
      <w:r w:rsidR="00726835" w:rsidRPr="007A55A2">
        <w:rPr>
          <w:rFonts w:ascii="Times New Roman" w:hAnsi="Times New Roman" w:cs="Times New Roman"/>
          <w:color w:val="000000" w:themeColor="text1"/>
          <w:lang w:val="lv-LV"/>
        </w:rPr>
        <w:t xml:space="preserve">programmas </w:t>
      </w:r>
      <w:r w:rsidR="00324F22" w:rsidRPr="007A55A2">
        <w:rPr>
          <w:rFonts w:ascii="Times New Roman" w:hAnsi="Times New Roman" w:cs="Times New Roman"/>
          <w:color w:val="000000" w:themeColor="text1"/>
          <w:lang w:val="lv-LV"/>
        </w:rPr>
        <w:t>ar saimniecisku darbību nesaistītam projektam</w:t>
      </w:r>
      <w:r w:rsidR="008D2DD1" w:rsidRPr="007A55A2">
        <w:rPr>
          <w:rFonts w:ascii="Times New Roman" w:hAnsi="Times New Roman" w:cs="Times New Roman"/>
          <w:color w:val="000000" w:themeColor="text1"/>
          <w:lang w:val="lv-LV"/>
        </w:rPr>
        <w:t xml:space="preserve"> netiešās izmaksas</w:t>
      </w:r>
      <w:r w:rsidR="00883A4F" w:rsidRPr="007A55A2">
        <w:rPr>
          <w:rFonts w:ascii="Times New Roman" w:hAnsi="Times New Roman" w:cs="Times New Roman"/>
          <w:color w:val="000000" w:themeColor="text1"/>
          <w:lang w:val="lv-LV"/>
        </w:rPr>
        <w:t xml:space="preserve"> nosaka</w:t>
      </w:r>
      <w:r w:rsidR="004D495E" w:rsidRPr="007A55A2">
        <w:rPr>
          <w:rFonts w:ascii="Times New Roman" w:hAnsi="Times New Roman" w:cs="Times New Roman"/>
          <w:color w:val="000000" w:themeColor="text1"/>
          <w:lang w:val="lv-LV"/>
        </w:rPr>
        <w:t>:</w:t>
      </w:r>
    </w:p>
    <w:p w14:paraId="1041A4E4" w14:textId="5C92972D" w:rsidR="005D7880" w:rsidRPr="007A55A2" w:rsidRDefault="0043332F" w:rsidP="006A5B1B">
      <w:pPr>
        <w:ind w:left="851"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w:t>
      </w:r>
      <w:r w:rsidR="004D495E" w:rsidRPr="007A55A2">
        <w:rPr>
          <w:rFonts w:ascii="Times New Roman" w:hAnsi="Times New Roman" w:cs="Times New Roman"/>
          <w:color w:val="000000" w:themeColor="text1"/>
          <w:lang w:val="lv-LV"/>
        </w:rPr>
        <w:t xml:space="preserve">… </w:t>
      </w:r>
      <w:r w:rsidR="00415704" w:rsidRPr="007A55A2">
        <w:rPr>
          <w:rFonts w:ascii="Times New Roman" w:hAnsi="Times New Roman" w:cs="Times New Roman"/>
          <w:i/>
          <w:iCs/>
          <w:color w:val="000000" w:themeColor="text1"/>
          <w:lang w:val="lv-LV"/>
        </w:rPr>
        <w:t xml:space="preserve">vienoto likmi </w:t>
      </w:r>
      <w:r w:rsidR="004D495E" w:rsidRPr="007A55A2">
        <w:rPr>
          <w:rFonts w:ascii="Times New Roman" w:hAnsi="Times New Roman" w:cs="Times New Roman"/>
          <w:i/>
          <w:iCs/>
          <w:color w:val="000000" w:themeColor="text1"/>
          <w:lang w:val="lv-LV"/>
        </w:rPr>
        <w:t>25 procentu apmērā no … tiešo attiecināmo izmaksu kopsummas, izņemot tiešās attiecināmās izmaksas saistībā ar apakšuzņēmuma līgumu slēgšanu un izmaksas saistībā ar resursiem, ko nodrošinājušas trešās personas un kas netiek izmantoti finansējuma saņēmēja telpās vai pētījumu objektos, kā arī finansiālu atbalstu trešajām personām</w:t>
      </w:r>
      <w:r w:rsidR="001B182F" w:rsidRPr="007A55A2">
        <w:rPr>
          <w:rFonts w:ascii="Times New Roman" w:hAnsi="Times New Roman" w:cs="Times New Roman"/>
          <w:color w:val="000000" w:themeColor="text1"/>
          <w:lang w:val="lv-LV"/>
        </w:rPr>
        <w:t>”</w:t>
      </w:r>
      <w:r w:rsidR="002531E1" w:rsidRPr="007A55A2">
        <w:rPr>
          <w:rFonts w:ascii="Times New Roman" w:hAnsi="Times New Roman" w:cs="Times New Roman"/>
          <w:color w:val="000000" w:themeColor="text1"/>
          <w:lang w:val="lv-LV"/>
        </w:rPr>
        <w:t xml:space="preserve"> </w:t>
      </w:r>
      <w:r w:rsidR="001B182F" w:rsidRPr="007A55A2">
        <w:rPr>
          <w:rFonts w:ascii="Times New Roman" w:hAnsi="Times New Roman" w:cs="Times New Roman"/>
          <w:color w:val="000000" w:themeColor="text1"/>
          <w:lang w:val="lv-LV"/>
        </w:rPr>
        <w:t>(35. punkts).</w:t>
      </w:r>
    </w:p>
    <w:p w14:paraId="0B2F6156" w14:textId="1C23235C" w:rsidR="00ED162A" w:rsidRPr="007A55A2" w:rsidRDefault="002415FF" w:rsidP="00A743DD">
      <w:pPr>
        <w:ind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Tādu pašu netiešo izmaksu noteikšanas kārtību nosaka arī pašreizējā perioda </w:t>
      </w:r>
      <w:r w:rsidR="00E87A72" w:rsidRPr="007A55A2">
        <w:rPr>
          <w:rFonts w:ascii="Times New Roman" w:hAnsi="Times New Roman" w:cs="Times New Roman"/>
          <w:color w:val="000000" w:themeColor="text1"/>
          <w:lang w:val="lv-LV"/>
        </w:rPr>
        <w:t xml:space="preserve">atbilstošo </w:t>
      </w:r>
      <w:r w:rsidR="003A2902" w:rsidRPr="007A55A2">
        <w:rPr>
          <w:rFonts w:ascii="Times New Roman" w:hAnsi="Times New Roman" w:cs="Times New Roman"/>
          <w:color w:val="000000" w:themeColor="text1"/>
          <w:lang w:val="lv-LV"/>
        </w:rPr>
        <w:t xml:space="preserve">projektu </w:t>
      </w:r>
      <w:r w:rsidR="00463A49" w:rsidRPr="007A55A2">
        <w:rPr>
          <w:rFonts w:ascii="Times New Roman" w:hAnsi="Times New Roman" w:cs="Times New Roman"/>
          <w:color w:val="000000" w:themeColor="text1"/>
          <w:lang w:val="lv-LV"/>
        </w:rPr>
        <w:t>(</w:t>
      </w:r>
      <w:r w:rsidR="00AD662C" w:rsidRPr="007A55A2">
        <w:rPr>
          <w:rFonts w:ascii="Times New Roman" w:hAnsi="Times New Roman" w:cs="Times New Roman"/>
          <w:color w:val="000000" w:themeColor="text1"/>
          <w:lang w:val="lv-LV"/>
        </w:rPr>
        <w:t xml:space="preserve">1.1.1.3. pasākuma) </w:t>
      </w:r>
      <w:r w:rsidR="003A2902" w:rsidRPr="007A55A2">
        <w:rPr>
          <w:rFonts w:ascii="Times New Roman" w:hAnsi="Times New Roman" w:cs="Times New Roman"/>
          <w:color w:val="000000" w:themeColor="text1"/>
          <w:lang w:val="lv-LV"/>
        </w:rPr>
        <w:t xml:space="preserve">reglamentējošie MK Noteikumi Nr. </w:t>
      </w:r>
      <w:r w:rsidR="004425D9" w:rsidRPr="007A55A2">
        <w:rPr>
          <w:rFonts w:ascii="Times New Roman" w:hAnsi="Times New Roman" w:cs="Times New Roman"/>
          <w:color w:val="000000" w:themeColor="text1"/>
          <w:lang w:val="lv-LV"/>
        </w:rPr>
        <w:t>407</w:t>
      </w:r>
      <w:r w:rsidR="006F4B27" w:rsidRPr="007A55A2">
        <w:rPr>
          <w:rStyle w:val="FootnoteReference"/>
          <w:rFonts w:ascii="Times New Roman" w:hAnsi="Times New Roman" w:cs="Times New Roman"/>
          <w:color w:val="000000" w:themeColor="text1"/>
          <w:lang w:val="lv-LV"/>
        </w:rPr>
        <w:footnoteReference w:id="10"/>
      </w:r>
      <w:r w:rsidR="008D4BF3" w:rsidRPr="007A55A2">
        <w:rPr>
          <w:rFonts w:ascii="Times New Roman" w:hAnsi="Times New Roman" w:cs="Times New Roman"/>
          <w:color w:val="000000" w:themeColor="text1"/>
          <w:lang w:val="lv-LV"/>
        </w:rPr>
        <w:t xml:space="preserve"> (35. punkts)</w:t>
      </w:r>
      <w:r w:rsidR="004425D9" w:rsidRPr="007A55A2">
        <w:rPr>
          <w:rFonts w:ascii="Times New Roman" w:hAnsi="Times New Roman" w:cs="Times New Roman"/>
          <w:color w:val="000000" w:themeColor="text1"/>
          <w:lang w:val="lv-LV"/>
        </w:rPr>
        <w:t>.</w:t>
      </w:r>
      <w:r w:rsidR="001872B1" w:rsidRPr="007A55A2">
        <w:rPr>
          <w:rFonts w:ascii="Times New Roman" w:hAnsi="Times New Roman" w:cs="Times New Roman"/>
          <w:color w:val="000000" w:themeColor="text1"/>
          <w:lang w:val="lv-LV"/>
        </w:rPr>
        <w:t xml:space="preserve"> </w:t>
      </w:r>
    </w:p>
    <w:p w14:paraId="06EA3DEA" w14:textId="0B10321A" w:rsidR="005D7880" w:rsidRPr="007A55A2" w:rsidRDefault="00113EC1" w:rsidP="006A5B1B">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Savukārt cilvēkresursu attīstības pētījumu projektiem MK noteikumi izmanto regulas 68.b) pantā paredzēto kārtību, kas netiešo izmaksu vienoto likmi saista ar personāla izmaksām. </w:t>
      </w:r>
      <w:r w:rsidR="006D6AD4" w:rsidRPr="007A55A2">
        <w:rPr>
          <w:rFonts w:ascii="Times New Roman" w:hAnsi="Times New Roman" w:cs="Times New Roman"/>
          <w:color w:val="000000" w:themeColor="text1"/>
          <w:lang w:val="lv-LV"/>
        </w:rPr>
        <w:t xml:space="preserve">Iepriekšējā perioda </w:t>
      </w:r>
      <w:r w:rsidR="00933076" w:rsidRPr="007A55A2">
        <w:rPr>
          <w:rFonts w:ascii="Times New Roman" w:hAnsi="Times New Roman" w:cs="Times New Roman"/>
          <w:color w:val="000000" w:themeColor="text1"/>
          <w:lang w:val="lv-LV"/>
        </w:rPr>
        <w:t>c</w:t>
      </w:r>
      <w:r w:rsidR="006929EC" w:rsidRPr="007A55A2">
        <w:rPr>
          <w:rFonts w:ascii="Times New Roman" w:hAnsi="Times New Roman" w:cs="Times New Roman"/>
          <w:color w:val="000000" w:themeColor="text1"/>
          <w:lang w:val="lv-LV"/>
        </w:rPr>
        <w:t xml:space="preserve">ilvēkresursu pētniecībā </w:t>
      </w:r>
      <w:r w:rsidR="006D6AD4" w:rsidRPr="007A55A2">
        <w:rPr>
          <w:rFonts w:ascii="Times New Roman" w:hAnsi="Times New Roman" w:cs="Times New Roman"/>
          <w:color w:val="000000" w:themeColor="text1"/>
          <w:lang w:val="lv-LV"/>
        </w:rPr>
        <w:t xml:space="preserve">atbalsta </w:t>
      </w:r>
      <w:r w:rsidR="00B27D31" w:rsidRPr="007A55A2">
        <w:rPr>
          <w:rFonts w:ascii="Times New Roman" w:hAnsi="Times New Roman" w:cs="Times New Roman"/>
          <w:color w:val="000000" w:themeColor="text1"/>
          <w:lang w:val="lv-LV"/>
        </w:rPr>
        <w:t>1.1.1.2. pasākuma</w:t>
      </w:r>
      <w:r w:rsidR="00933076" w:rsidRPr="007A55A2">
        <w:rPr>
          <w:rFonts w:ascii="Times New Roman" w:hAnsi="Times New Roman" w:cs="Times New Roman"/>
          <w:color w:val="000000" w:themeColor="text1"/>
          <w:lang w:val="lv-LV"/>
        </w:rPr>
        <w:t xml:space="preserve"> "Pēcdoktorantūras pētniecības atbalsts" </w:t>
      </w:r>
      <w:r w:rsidR="00E9287A" w:rsidRPr="007A55A2">
        <w:rPr>
          <w:rFonts w:ascii="Times New Roman" w:hAnsi="Times New Roman" w:cs="Times New Roman"/>
          <w:color w:val="000000" w:themeColor="text1"/>
          <w:lang w:val="lv-LV"/>
        </w:rPr>
        <w:t xml:space="preserve">reglamentējošie </w:t>
      </w:r>
      <w:r w:rsidR="002461F1" w:rsidRPr="007A55A2">
        <w:rPr>
          <w:rFonts w:ascii="Times New Roman" w:hAnsi="Times New Roman" w:cs="Times New Roman"/>
          <w:color w:val="000000" w:themeColor="text1"/>
          <w:lang w:val="lv-LV"/>
        </w:rPr>
        <w:t>MK noteikumi Nr.50</w:t>
      </w:r>
      <w:r w:rsidR="00102F71" w:rsidRPr="007A55A2">
        <w:rPr>
          <w:rStyle w:val="FootnoteReference"/>
          <w:rFonts w:ascii="Times New Roman" w:hAnsi="Times New Roman" w:cs="Times New Roman"/>
          <w:color w:val="000000" w:themeColor="text1"/>
          <w:lang w:val="lv-LV"/>
        </w:rPr>
        <w:footnoteReference w:id="11"/>
      </w:r>
      <w:r w:rsidR="00102F71" w:rsidRPr="007A55A2">
        <w:rPr>
          <w:rFonts w:ascii="Times New Roman" w:hAnsi="Times New Roman" w:cs="Times New Roman"/>
          <w:color w:val="000000" w:themeColor="text1"/>
          <w:lang w:val="lv-LV"/>
        </w:rPr>
        <w:t xml:space="preserve"> paredz, ka</w:t>
      </w:r>
      <w:r w:rsidR="004B0DA6" w:rsidRPr="007A55A2">
        <w:rPr>
          <w:rFonts w:ascii="Times New Roman" w:hAnsi="Times New Roman" w:cs="Times New Roman"/>
          <w:color w:val="000000" w:themeColor="text1"/>
          <w:lang w:val="lv-LV"/>
        </w:rPr>
        <w:t xml:space="preserve"> programmas projektos netiešās izmaksas</w:t>
      </w:r>
      <w:r w:rsidR="00E9287A" w:rsidRPr="007A55A2">
        <w:rPr>
          <w:rFonts w:ascii="Times New Roman" w:hAnsi="Times New Roman" w:cs="Times New Roman"/>
          <w:color w:val="000000" w:themeColor="text1"/>
          <w:lang w:val="lv-LV"/>
        </w:rPr>
        <w:t xml:space="preserve"> nosaka</w:t>
      </w:r>
      <w:r w:rsidR="004B0DA6" w:rsidRPr="007A55A2">
        <w:rPr>
          <w:rFonts w:ascii="Times New Roman" w:hAnsi="Times New Roman" w:cs="Times New Roman"/>
          <w:color w:val="000000" w:themeColor="text1"/>
          <w:lang w:val="lv-LV"/>
        </w:rPr>
        <w:t>:</w:t>
      </w:r>
    </w:p>
    <w:p w14:paraId="077E4CCF" w14:textId="1EB133BA" w:rsidR="00102F71" w:rsidRPr="007A55A2" w:rsidRDefault="00DC676D" w:rsidP="006A5B1B">
      <w:pPr>
        <w:ind w:left="851"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 </w:t>
      </w:r>
      <w:r w:rsidRPr="007A55A2">
        <w:rPr>
          <w:rFonts w:ascii="Times New Roman" w:hAnsi="Times New Roman" w:cs="Times New Roman"/>
          <w:i/>
          <w:iCs/>
          <w:color w:val="000000" w:themeColor="text1"/>
          <w:lang w:val="lv-LV"/>
        </w:rPr>
        <w:t xml:space="preserve">vienoto likmi 15 procentu apmērā no </w:t>
      </w:r>
      <w:r w:rsidR="004865C5" w:rsidRPr="007A55A2">
        <w:rPr>
          <w:rFonts w:ascii="Times New Roman" w:hAnsi="Times New Roman" w:cs="Times New Roman"/>
          <w:i/>
          <w:iCs/>
          <w:color w:val="000000" w:themeColor="text1"/>
          <w:lang w:val="lv-LV"/>
        </w:rPr>
        <w:t>…</w:t>
      </w:r>
      <w:r w:rsidRPr="007A55A2">
        <w:rPr>
          <w:rFonts w:ascii="Times New Roman" w:hAnsi="Times New Roman" w:cs="Times New Roman"/>
          <w:i/>
          <w:iCs/>
          <w:color w:val="000000" w:themeColor="text1"/>
          <w:lang w:val="lv-LV"/>
        </w:rPr>
        <w:t xml:space="preserve"> minētajām tiešajām attiecināmajām personāla izmaksām</w:t>
      </w:r>
      <w:r w:rsidR="004865C5" w:rsidRPr="007A55A2">
        <w:rPr>
          <w:rFonts w:ascii="Times New Roman" w:hAnsi="Times New Roman" w:cs="Times New Roman"/>
          <w:color w:val="000000" w:themeColor="text1"/>
          <w:lang w:val="lv-LV"/>
        </w:rPr>
        <w:t>”(38. punkts).</w:t>
      </w:r>
    </w:p>
    <w:p w14:paraId="741F8D39" w14:textId="0231E451" w:rsidR="005D7880" w:rsidRPr="007A55A2" w:rsidRDefault="00D0552C" w:rsidP="00A743DD">
      <w:pPr>
        <w:ind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Līdzīgas ievirzes </w:t>
      </w:r>
      <w:r w:rsidR="00052B38" w:rsidRPr="007A55A2">
        <w:rPr>
          <w:rFonts w:ascii="Times New Roman" w:hAnsi="Times New Roman" w:cs="Times New Roman"/>
          <w:color w:val="000000" w:themeColor="text1"/>
          <w:lang w:val="lv-LV"/>
        </w:rPr>
        <w:t xml:space="preserve">pašreizējā perioda 1.1.1.9. pasākuma "Pēcdoktorantūras pētījumi" </w:t>
      </w:r>
      <w:r w:rsidR="00E30692" w:rsidRPr="007A55A2">
        <w:rPr>
          <w:rFonts w:ascii="Times New Roman" w:hAnsi="Times New Roman" w:cs="Times New Roman"/>
          <w:color w:val="000000" w:themeColor="text1"/>
          <w:lang w:val="lv-LV"/>
        </w:rPr>
        <w:t xml:space="preserve">reglamentējošie </w:t>
      </w:r>
      <w:r w:rsidR="009E251E" w:rsidRPr="007A55A2">
        <w:rPr>
          <w:rFonts w:ascii="Times New Roman" w:hAnsi="Times New Roman" w:cs="Times New Roman"/>
          <w:color w:val="000000" w:themeColor="text1"/>
          <w:lang w:val="lv-LV"/>
        </w:rPr>
        <w:t>MK noteikumi Nr. 35</w:t>
      </w:r>
      <w:r w:rsidR="00BC5B62" w:rsidRPr="007A55A2">
        <w:rPr>
          <w:rStyle w:val="FootnoteReference"/>
          <w:rFonts w:ascii="Times New Roman" w:hAnsi="Times New Roman" w:cs="Times New Roman"/>
          <w:color w:val="000000" w:themeColor="text1"/>
          <w:lang w:val="lv-LV"/>
        </w:rPr>
        <w:footnoteReference w:id="12"/>
      </w:r>
      <w:r w:rsidR="00BC5B62" w:rsidRPr="007A55A2">
        <w:rPr>
          <w:rFonts w:ascii="Times New Roman" w:hAnsi="Times New Roman" w:cs="Times New Roman"/>
          <w:color w:val="000000" w:themeColor="text1"/>
          <w:lang w:val="lv-LV"/>
        </w:rPr>
        <w:t xml:space="preserve"> </w:t>
      </w:r>
      <w:r w:rsidR="00F67F5B" w:rsidRPr="007A55A2">
        <w:rPr>
          <w:rFonts w:ascii="Times New Roman" w:hAnsi="Times New Roman" w:cs="Times New Roman"/>
          <w:color w:val="000000" w:themeColor="text1"/>
          <w:lang w:val="lv-LV"/>
        </w:rPr>
        <w:t>a</w:t>
      </w:r>
      <w:r w:rsidR="00ED358A" w:rsidRPr="007A55A2">
        <w:rPr>
          <w:rFonts w:ascii="Times New Roman" w:hAnsi="Times New Roman" w:cs="Times New Roman"/>
          <w:color w:val="000000" w:themeColor="text1"/>
          <w:lang w:val="lv-LV"/>
        </w:rPr>
        <w:t>rī izmanto šo pieeju netiešo izmaksu noteikšanai</w:t>
      </w:r>
      <w:r w:rsidR="002833EF" w:rsidRPr="007A55A2">
        <w:rPr>
          <w:rFonts w:ascii="Times New Roman" w:hAnsi="Times New Roman" w:cs="Times New Roman"/>
          <w:color w:val="000000" w:themeColor="text1"/>
          <w:lang w:val="lv-LV"/>
        </w:rPr>
        <w:t xml:space="preserve"> </w:t>
      </w:r>
      <w:r w:rsidR="00BC5B62" w:rsidRPr="007A55A2">
        <w:rPr>
          <w:rFonts w:ascii="Times New Roman" w:hAnsi="Times New Roman" w:cs="Times New Roman"/>
          <w:color w:val="000000" w:themeColor="text1"/>
          <w:lang w:val="lv-LV"/>
        </w:rPr>
        <w:t>(51. punkts)</w:t>
      </w:r>
      <w:r w:rsidR="00113EC1" w:rsidRPr="007A55A2">
        <w:rPr>
          <w:rFonts w:ascii="Times New Roman" w:hAnsi="Times New Roman" w:cs="Times New Roman"/>
          <w:color w:val="000000" w:themeColor="text1"/>
          <w:lang w:val="lv-LV"/>
        </w:rPr>
        <w:t>.</w:t>
      </w:r>
    </w:p>
    <w:p w14:paraId="0BB45BC2" w14:textId="1C559582" w:rsidR="001D3995" w:rsidRPr="007A55A2" w:rsidRDefault="00F67F5B" w:rsidP="00367B4E">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Latvijā īstenotajiem Eiropas Savienības fondu līdzfinansētajiem pētījumu projektiem patreiz nepiemēro regulas 68.c) pantā paredzēto kārtību.</w:t>
      </w:r>
    </w:p>
    <w:p w14:paraId="4D388C04" w14:textId="2AB8FDD2" w:rsidR="005D7880" w:rsidRPr="007A55A2" w:rsidRDefault="005D7880" w:rsidP="005449AC">
      <w:pPr>
        <w:spacing w:before="480"/>
        <w:ind w:right="-6"/>
        <w:jc w:val="center"/>
        <w:rPr>
          <w:rFonts w:ascii="Times New Roman" w:hAnsi="Times New Roman" w:cs="Times New Roman"/>
          <w:color w:val="000000" w:themeColor="text1"/>
          <w:lang w:val="lv-LV"/>
        </w:rPr>
      </w:pPr>
      <w:r w:rsidRPr="007A55A2">
        <w:rPr>
          <w:rFonts w:ascii="Times New Roman" w:hAnsi="Times New Roman" w:cs="Times New Roman"/>
          <w:b/>
          <w:bCs/>
          <w:color w:val="000000" w:themeColor="text1"/>
          <w:lang w:val="lv-LV"/>
        </w:rPr>
        <w:t>Starptautiskās sadarbības</w:t>
      </w:r>
      <w:r w:rsidRPr="007A55A2">
        <w:rPr>
          <w:rFonts w:ascii="Times New Roman" w:hAnsi="Times New Roman" w:cs="Times New Roman"/>
          <w:color w:val="000000" w:themeColor="text1"/>
          <w:lang w:val="lv-LV"/>
        </w:rPr>
        <w:t xml:space="preserve"> </w:t>
      </w:r>
      <w:r w:rsidR="00EA587C" w:rsidRPr="007A55A2">
        <w:rPr>
          <w:rFonts w:ascii="Times New Roman" w:hAnsi="Times New Roman" w:cs="Times New Roman"/>
          <w:b/>
          <w:bCs/>
          <w:color w:val="000000" w:themeColor="text1"/>
          <w:lang w:val="lv-LV"/>
        </w:rPr>
        <w:t>pētījumu programmas un projekti</w:t>
      </w:r>
    </w:p>
    <w:p w14:paraId="1F398AFA" w14:textId="5B96E9CF" w:rsidR="00830D01" w:rsidRPr="007A55A2" w:rsidRDefault="000F7279" w:rsidP="00367B4E">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Pētniecības un inovācijas pamatprogrammas "Apvārsnis Eiropa" projektus, kurus </w:t>
      </w:r>
      <w:r w:rsidR="00D4623F" w:rsidRPr="007A55A2">
        <w:rPr>
          <w:rFonts w:ascii="Times New Roman" w:hAnsi="Times New Roman" w:cs="Times New Roman"/>
          <w:color w:val="000000" w:themeColor="text1"/>
          <w:lang w:val="lv-LV"/>
        </w:rPr>
        <w:t>pamatā</w:t>
      </w:r>
      <w:r w:rsidRPr="007A55A2">
        <w:rPr>
          <w:rFonts w:ascii="Times New Roman" w:hAnsi="Times New Roman" w:cs="Times New Roman"/>
          <w:color w:val="000000" w:themeColor="text1"/>
          <w:lang w:val="lv-LV"/>
        </w:rPr>
        <w:t xml:space="preserve"> īsteno augstskolu, zinātnisko institūciju un cita veida institūciju starptautiski konsorciji un tikai atsevišķos gadījumos vienas valsts viena institūcija, finansē pilnībā</w:t>
      </w:r>
      <w:r w:rsidR="00E87A72" w:rsidRPr="007A55A2">
        <w:rPr>
          <w:rFonts w:ascii="Times New Roman" w:hAnsi="Times New Roman" w:cs="Times New Roman"/>
          <w:color w:val="000000" w:themeColor="text1"/>
          <w:lang w:val="lv-LV"/>
        </w:rPr>
        <w:t>,</w:t>
      </w:r>
      <w:r w:rsidRPr="007A55A2">
        <w:rPr>
          <w:rFonts w:ascii="Times New Roman" w:hAnsi="Times New Roman" w:cs="Times New Roman"/>
          <w:color w:val="000000" w:themeColor="text1"/>
          <w:lang w:val="lv-LV"/>
        </w:rPr>
        <w:t xml:space="preserve"> vai līdzfinansē Eiropas Savienība. P</w:t>
      </w:r>
      <w:r w:rsidR="00830D01" w:rsidRPr="007A55A2">
        <w:rPr>
          <w:rFonts w:ascii="Times New Roman" w:hAnsi="Times New Roman" w:cs="Times New Roman"/>
          <w:color w:val="000000" w:themeColor="text1"/>
          <w:lang w:val="lv-LV"/>
        </w:rPr>
        <w:t>ašreizējās p</w:t>
      </w:r>
      <w:r w:rsidRPr="007A55A2">
        <w:rPr>
          <w:rFonts w:ascii="Times New Roman" w:hAnsi="Times New Roman" w:cs="Times New Roman"/>
          <w:color w:val="000000" w:themeColor="text1"/>
          <w:lang w:val="lv-LV"/>
        </w:rPr>
        <w:t xml:space="preserve">amatprogrammas dalības noteikumus nosaka </w:t>
      </w:r>
      <w:bookmarkStart w:id="2" w:name="_Hlk180671699"/>
      <w:r w:rsidRPr="007A55A2">
        <w:rPr>
          <w:rFonts w:ascii="Times New Roman" w:hAnsi="Times New Roman" w:cs="Times New Roman"/>
          <w:color w:val="000000" w:themeColor="text1"/>
          <w:lang w:val="lv-LV"/>
        </w:rPr>
        <w:t xml:space="preserve">Eiropas </w:t>
      </w:r>
      <w:r w:rsidRPr="007A55A2">
        <w:rPr>
          <w:rFonts w:ascii="Times New Roman" w:hAnsi="Times New Roman" w:cs="Times New Roman"/>
          <w:color w:val="000000" w:themeColor="text1"/>
          <w:lang w:val="lv-LV"/>
        </w:rPr>
        <w:lastRenderedPageBreak/>
        <w:t xml:space="preserve">Parlamenta un Padomes regula </w:t>
      </w:r>
      <w:r w:rsidR="00B22AC4" w:rsidRPr="007A55A2">
        <w:rPr>
          <w:rFonts w:ascii="Times New Roman" w:hAnsi="Times New Roman" w:cs="Times New Roman"/>
          <w:color w:val="000000" w:themeColor="text1"/>
          <w:lang w:val="lv-LV"/>
        </w:rPr>
        <w:t xml:space="preserve">Nr. </w:t>
      </w:r>
      <w:r w:rsidRPr="007A55A2">
        <w:rPr>
          <w:rFonts w:ascii="Times New Roman" w:hAnsi="Times New Roman" w:cs="Times New Roman"/>
          <w:color w:val="000000" w:themeColor="text1"/>
          <w:lang w:val="lv-LV"/>
        </w:rPr>
        <w:t>2021/695</w:t>
      </w:r>
      <w:bookmarkEnd w:id="2"/>
      <w:r w:rsidRPr="007A55A2">
        <w:rPr>
          <w:rStyle w:val="FootnoteReference"/>
          <w:rFonts w:ascii="Times New Roman" w:hAnsi="Times New Roman" w:cs="Times New Roman"/>
          <w:color w:val="000000" w:themeColor="text1"/>
          <w:lang w:val="lv-LV"/>
        </w:rPr>
        <w:footnoteReference w:id="13"/>
      </w:r>
      <w:r w:rsidRPr="007A55A2">
        <w:rPr>
          <w:rFonts w:ascii="Times New Roman" w:hAnsi="Times New Roman" w:cs="Times New Roman"/>
          <w:color w:val="000000" w:themeColor="text1"/>
          <w:lang w:val="lv-LV"/>
        </w:rPr>
        <w:t xml:space="preserve">, paredzot arī netiešo izmaksu aprēķina kārtību un likmi. Regulas </w:t>
      </w:r>
      <w:r w:rsidR="00830D01" w:rsidRPr="007A55A2">
        <w:rPr>
          <w:rFonts w:ascii="Times New Roman" w:hAnsi="Times New Roman" w:cs="Times New Roman"/>
          <w:color w:val="000000" w:themeColor="text1"/>
          <w:lang w:val="lv-LV"/>
        </w:rPr>
        <w:t>nosaka:</w:t>
      </w:r>
    </w:p>
    <w:p w14:paraId="5ADD5D11" w14:textId="075ED356" w:rsidR="006B31C3" w:rsidRPr="007A55A2" w:rsidRDefault="000F7279" w:rsidP="00367B4E">
      <w:pPr>
        <w:ind w:left="851"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w:t>
      </w:r>
      <w:r w:rsidR="006B31C3" w:rsidRPr="007A55A2">
        <w:rPr>
          <w:rFonts w:ascii="Times New Roman" w:hAnsi="Times New Roman" w:cs="Times New Roman"/>
          <w:color w:val="000000" w:themeColor="text1"/>
          <w:lang w:val="lv-LV"/>
        </w:rPr>
        <w:t>…</w:t>
      </w:r>
      <w:r w:rsidRPr="007A55A2">
        <w:rPr>
          <w:rFonts w:ascii="Times New Roman" w:hAnsi="Times New Roman" w:cs="Times New Roman"/>
          <w:color w:val="000000" w:themeColor="text1"/>
          <w:lang w:val="lv-LV"/>
        </w:rPr>
        <w:t xml:space="preserve"> </w:t>
      </w:r>
      <w:r w:rsidRPr="007A55A2">
        <w:rPr>
          <w:rFonts w:ascii="Times New Roman" w:hAnsi="Times New Roman" w:cs="Times New Roman"/>
          <w:i/>
          <w:iCs/>
          <w:color w:val="000000" w:themeColor="text1"/>
          <w:lang w:val="lv-LV"/>
        </w:rPr>
        <w:t>ir 25 % no kopējām tiešajām attiecināmajām izmaksām, izņemot tiešās attiecināmās izmaksas, kas radušās saistībā ar apakšuzņēmuma līgumu slēgšanu, finansiālo atbalstu trešām personām un jebkuras vienības izmaksām vai fiksētajām summām, kas ietver netiešās izmaksas</w:t>
      </w:r>
      <w:r w:rsidRPr="007A55A2">
        <w:rPr>
          <w:rFonts w:ascii="Times New Roman" w:hAnsi="Times New Roman" w:cs="Times New Roman"/>
          <w:color w:val="000000" w:themeColor="text1"/>
          <w:lang w:val="lv-LV"/>
        </w:rPr>
        <w:t>.”</w:t>
      </w:r>
      <w:r w:rsidR="00B7745F" w:rsidRPr="007A55A2">
        <w:rPr>
          <w:rFonts w:ascii="Times New Roman" w:hAnsi="Times New Roman" w:cs="Times New Roman"/>
          <w:color w:val="000000" w:themeColor="text1"/>
          <w:lang w:val="lv-LV"/>
        </w:rPr>
        <w:t xml:space="preserve"> (35. </w:t>
      </w:r>
      <w:r w:rsidR="001872B1" w:rsidRPr="007A55A2">
        <w:rPr>
          <w:rFonts w:ascii="Times New Roman" w:hAnsi="Times New Roman" w:cs="Times New Roman"/>
          <w:color w:val="000000" w:themeColor="text1"/>
          <w:lang w:val="lv-LV"/>
        </w:rPr>
        <w:t>panta</w:t>
      </w:r>
      <w:r w:rsidR="00B7745F" w:rsidRPr="007A55A2">
        <w:rPr>
          <w:rFonts w:ascii="Times New Roman" w:hAnsi="Times New Roman" w:cs="Times New Roman"/>
          <w:color w:val="000000" w:themeColor="text1"/>
          <w:lang w:val="lv-LV"/>
        </w:rPr>
        <w:t xml:space="preserve"> 1. daļa)</w:t>
      </w:r>
      <w:r w:rsidRPr="007A55A2">
        <w:rPr>
          <w:rFonts w:ascii="Times New Roman" w:hAnsi="Times New Roman" w:cs="Times New Roman"/>
          <w:color w:val="000000" w:themeColor="text1"/>
          <w:lang w:val="lv-LV"/>
        </w:rPr>
        <w:t xml:space="preserve">. </w:t>
      </w:r>
    </w:p>
    <w:p w14:paraId="3E264886" w14:textId="4C7081AF" w:rsidR="000F7279" w:rsidRPr="007A55A2" w:rsidRDefault="000F7279" w:rsidP="00A743DD">
      <w:pPr>
        <w:ind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Punkta 2. daļa nosaka</w:t>
      </w:r>
      <w:r w:rsidR="00B7745F" w:rsidRPr="007A55A2">
        <w:rPr>
          <w:rFonts w:ascii="Times New Roman" w:hAnsi="Times New Roman" w:cs="Times New Roman"/>
          <w:color w:val="000000" w:themeColor="text1"/>
          <w:lang w:val="lv-LV"/>
        </w:rPr>
        <w:t>,</w:t>
      </w:r>
      <w:r w:rsidRPr="007A55A2">
        <w:rPr>
          <w:rFonts w:ascii="Times New Roman" w:hAnsi="Times New Roman" w:cs="Times New Roman"/>
          <w:color w:val="000000" w:themeColor="text1"/>
          <w:lang w:val="lv-LV"/>
        </w:rPr>
        <w:t xml:space="preserve"> ka atsevišķos gadījumos, ja tas noteikts attiecīgajā Darba programmā, netiešās izmaksas var deklarēt kā fiksētas summas vai vienības izmaksas. Tomēr pēdējais nosacījums jāuzskata par atsevišķiem izņēmuma gadījumiem. </w:t>
      </w:r>
    </w:p>
    <w:p w14:paraId="115545D6" w14:textId="37DBEBDC" w:rsidR="00A80C9E" w:rsidRPr="007A55A2" w:rsidRDefault="00412A88" w:rsidP="00367B4E">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Līdzās pamatprogrammas "Apvārsnis Eiropa" starptautiskajiem pētniecības projektiem, Latvijas </w:t>
      </w:r>
      <w:r w:rsidR="0019548F" w:rsidRPr="007A55A2">
        <w:rPr>
          <w:rFonts w:ascii="Times New Roman" w:hAnsi="Times New Roman" w:cs="Times New Roman"/>
          <w:color w:val="000000" w:themeColor="text1"/>
          <w:lang w:val="lv-LV"/>
        </w:rPr>
        <w:t xml:space="preserve">institūcijas </w:t>
      </w:r>
      <w:r w:rsidRPr="007A55A2">
        <w:rPr>
          <w:rFonts w:ascii="Times New Roman" w:hAnsi="Times New Roman" w:cs="Times New Roman"/>
          <w:color w:val="000000" w:themeColor="text1"/>
          <w:lang w:val="lv-LV"/>
        </w:rPr>
        <w:t>piedalās arī cita veida</w:t>
      </w:r>
      <w:r w:rsidR="008D4EA2" w:rsidRPr="007A55A2">
        <w:rPr>
          <w:rFonts w:ascii="Times New Roman" w:hAnsi="Times New Roman" w:cs="Times New Roman"/>
          <w:color w:val="000000" w:themeColor="text1"/>
          <w:lang w:val="lv-LV"/>
        </w:rPr>
        <w:t xml:space="preserve"> </w:t>
      </w:r>
      <w:r w:rsidR="0019548F" w:rsidRPr="007A55A2">
        <w:rPr>
          <w:rFonts w:ascii="Times New Roman" w:hAnsi="Times New Roman" w:cs="Times New Roman"/>
          <w:color w:val="000000" w:themeColor="text1"/>
          <w:lang w:val="lv-LV"/>
        </w:rPr>
        <w:t>starptautiskās sadarbības programmās pētniecības un tehnoloģiju jomā</w:t>
      </w:r>
      <w:r w:rsidR="006341E8" w:rsidRPr="007A55A2">
        <w:rPr>
          <w:rFonts w:ascii="Times New Roman" w:hAnsi="Times New Roman" w:cs="Times New Roman"/>
          <w:color w:val="000000" w:themeColor="text1"/>
          <w:lang w:val="lv-LV"/>
        </w:rPr>
        <w:t xml:space="preserve">. </w:t>
      </w:r>
      <w:r w:rsidR="00A80C9E" w:rsidRPr="007A55A2">
        <w:rPr>
          <w:rFonts w:ascii="Times New Roman" w:hAnsi="Times New Roman" w:cs="Times New Roman"/>
          <w:color w:val="000000" w:themeColor="text1"/>
          <w:lang w:val="lv-LV"/>
        </w:rPr>
        <w:t xml:space="preserve">Jāatzīmē, ka šīs programmas un projektus arī īsteno starptautiski konsorciji, kurus veido dažādu valstu zinātniskās un cita veida </w:t>
      </w:r>
      <w:r w:rsidR="0045264C" w:rsidRPr="007A55A2">
        <w:rPr>
          <w:rFonts w:ascii="Times New Roman" w:hAnsi="Times New Roman" w:cs="Times New Roman"/>
          <w:color w:val="000000" w:themeColor="text1"/>
          <w:lang w:val="lv-LV"/>
        </w:rPr>
        <w:t>institūcijas</w:t>
      </w:r>
      <w:r w:rsidR="00A80C9E" w:rsidRPr="007A55A2">
        <w:rPr>
          <w:rFonts w:ascii="Times New Roman" w:hAnsi="Times New Roman" w:cs="Times New Roman"/>
          <w:color w:val="000000" w:themeColor="text1"/>
          <w:lang w:val="lv-LV"/>
        </w:rPr>
        <w:t xml:space="preserve">. </w:t>
      </w:r>
      <w:r w:rsidR="002E5211" w:rsidRPr="007A55A2">
        <w:rPr>
          <w:rFonts w:ascii="Times New Roman" w:hAnsi="Times New Roman" w:cs="Times New Roman"/>
          <w:color w:val="000000" w:themeColor="text1"/>
          <w:lang w:val="lv-LV"/>
        </w:rPr>
        <w:t xml:space="preserve">Tomēr </w:t>
      </w:r>
      <w:r w:rsidR="0045264C" w:rsidRPr="007A55A2">
        <w:rPr>
          <w:rFonts w:ascii="Times New Roman" w:hAnsi="Times New Roman" w:cs="Times New Roman"/>
          <w:color w:val="000000" w:themeColor="text1"/>
          <w:lang w:val="lv-LV"/>
        </w:rPr>
        <w:t>k</w:t>
      </w:r>
      <w:r w:rsidR="00A80C9E" w:rsidRPr="007A55A2">
        <w:rPr>
          <w:rFonts w:ascii="Times New Roman" w:hAnsi="Times New Roman" w:cs="Times New Roman"/>
          <w:color w:val="000000" w:themeColor="text1"/>
          <w:lang w:val="lv-LV"/>
        </w:rPr>
        <w:t xml:space="preserve">atras </w:t>
      </w:r>
      <w:r w:rsidR="00851F2E" w:rsidRPr="007A55A2">
        <w:rPr>
          <w:rFonts w:ascii="Times New Roman" w:hAnsi="Times New Roman" w:cs="Times New Roman"/>
          <w:color w:val="000000" w:themeColor="text1"/>
          <w:lang w:val="lv-LV"/>
        </w:rPr>
        <w:t xml:space="preserve">valsts </w:t>
      </w:r>
      <w:r w:rsidR="0045264C" w:rsidRPr="007A55A2">
        <w:rPr>
          <w:rFonts w:ascii="Times New Roman" w:hAnsi="Times New Roman" w:cs="Times New Roman"/>
          <w:color w:val="000000" w:themeColor="text1"/>
          <w:lang w:val="lv-LV"/>
        </w:rPr>
        <w:t>institūcij</w:t>
      </w:r>
      <w:r w:rsidR="00851F2E" w:rsidRPr="007A55A2">
        <w:rPr>
          <w:rFonts w:ascii="Times New Roman" w:hAnsi="Times New Roman" w:cs="Times New Roman"/>
          <w:color w:val="000000" w:themeColor="text1"/>
          <w:lang w:val="lv-LV"/>
        </w:rPr>
        <w:t>u</w:t>
      </w:r>
      <w:r w:rsidR="0045264C" w:rsidRPr="007A55A2">
        <w:rPr>
          <w:rFonts w:ascii="Times New Roman" w:hAnsi="Times New Roman" w:cs="Times New Roman"/>
          <w:color w:val="000000" w:themeColor="text1"/>
          <w:lang w:val="lv-LV"/>
        </w:rPr>
        <w:t xml:space="preserve"> </w:t>
      </w:r>
      <w:r w:rsidR="00A80C9E" w:rsidRPr="007A55A2">
        <w:rPr>
          <w:rFonts w:ascii="Times New Roman" w:hAnsi="Times New Roman" w:cs="Times New Roman"/>
          <w:color w:val="000000" w:themeColor="text1"/>
          <w:lang w:val="lv-LV"/>
        </w:rPr>
        <w:t>dalīb</w:t>
      </w:r>
      <w:r w:rsidR="004D1B3D" w:rsidRPr="007A55A2">
        <w:rPr>
          <w:rFonts w:ascii="Times New Roman" w:hAnsi="Times New Roman" w:cs="Times New Roman"/>
          <w:color w:val="000000" w:themeColor="text1"/>
          <w:lang w:val="lv-LV"/>
        </w:rPr>
        <w:t>as nosacījumus nosaka</w:t>
      </w:r>
      <w:r w:rsidR="00110125" w:rsidRPr="007A55A2">
        <w:rPr>
          <w:rFonts w:ascii="Times New Roman" w:hAnsi="Times New Roman" w:cs="Times New Roman"/>
          <w:color w:val="000000" w:themeColor="text1"/>
          <w:lang w:val="lv-LV"/>
        </w:rPr>
        <w:t xml:space="preserve"> </w:t>
      </w:r>
      <w:r w:rsidR="004D1B3D" w:rsidRPr="007A55A2">
        <w:rPr>
          <w:rFonts w:ascii="Times New Roman" w:hAnsi="Times New Roman" w:cs="Times New Roman"/>
          <w:color w:val="000000" w:themeColor="text1"/>
          <w:lang w:val="lv-LV"/>
        </w:rPr>
        <w:t xml:space="preserve">un </w:t>
      </w:r>
      <w:r w:rsidR="00110125" w:rsidRPr="007A55A2">
        <w:rPr>
          <w:rFonts w:ascii="Times New Roman" w:hAnsi="Times New Roman" w:cs="Times New Roman"/>
          <w:color w:val="000000" w:themeColor="text1"/>
          <w:lang w:val="lv-LV"/>
        </w:rPr>
        <w:t xml:space="preserve">dalību </w:t>
      </w:r>
      <w:r w:rsidR="00851F2E" w:rsidRPr="007A55A2">
        <w:rPr>
          <w:rFonts w:ascii="Times New Roman" w:hAnsi="Times New Roman" w:cs="Times New Roman"/>
          <w:color w:val="000000" w:themeColor="text1"/>
          <w:lang w:val="lv-LV"/>
        </w:rPr>
        <w:t>līdz</w:t>
      </w:r>
      <w:r w:rsidR="00A80C9E" w:rsidRPr="007A55A2">
        <w:rPr>
          <w:rFonts w:ascii="Times New Roman" w:hAnsi="Times New Roman" w:cs="Times New Roman"/>
          <w:color w:val="000000" w:themeColor="text1"/>
          <w:lang w:val="lv-LV"/>
        </w:rPr>
        <w:t xml:space="preserve">finansē valsts, ko pārstāv šī </w:t>
      </w:r>
      <w:r w:rsidR="00851F2E" w:rsidRPr="007A55A2">
        <w:rPr>
          <w:rFonts w:ascii="Times New Roman" w:hAnsi="Times New Roman" w:cs="Times New Roman"/>
          <w:color w:val="000000" w:themeColor="text1"/>
          <w:lang w:val="lv-LV"/>
        </w:rPr>
        <w:t>institūcija</w:t>
      </w:r>
      <w:r w:rsidR="00A80C9E" w:rsidRPr="007A55A2">
        <w:rPr>
          <w:rFonts w:ascii="Times New Roman" w:hAnsi="Times New Roman" w:cs="Times New Roman"/>
          <w:color w:val="000000" w:themeColor="text1"/>
          <w:lang w:val="lv-LV"/>
        </w:rPr>
        <w:t xml:space="preserve">. Latvijas </w:t>
      </w:r>
      <w:r w:rsidR="00351C6B" w:rsidRPr="007A55A2">
        <w:rPr>
          <w:rFonts w:ascii="Times New Roman" w:hAnsi="Times New Roman" w:cs="Times New Roman"/>
          <w:color w:val="000000" w:themeColor="text1"/>
          <w:lang w:val="lv-LV"/>
        </w:rPr>
        <w:t>institūciju dalību reglamentē MK noteikumi Nr. 259</w:t>
      </w:r>
      <w:r w:rsidR="00351C6B" w:rsidRPr="007A55A2">
        <w:rPr>
          <w:rStyle w:val="FootnoteReference"/>
          <w:rFonts w:ascii="Times New Roman" w:hAnsi="Times New Roman" w:cs="Times New Roman"/>
          <w:color w:val="000000" w:themeColor="text1"/>
          <w:lang w:val="lv-LV"/>
        </w:rPr>
        <w:footnoteReference w:id="14"/>
      </w:r>
      <w:r w:rsidR="00C12317" w:rsidRPr="007A55A2">
        <w:rPr>
          <w:rFonts w:ascii="Times New Roman" w:hAnsi="Times New Roman" w:cs="Times New Roman"/>
          <w:color w:val="000000" w:themeColor="text1"/>
          <w:lang w:val="lv-LV"/>
        </w:rPr>
        <w:t xml:space="preserve"> un </w:t>
      </w:r>
      <w:r w:rsidR="0081195D" w:rsidRPr="007A55A2">
        <w:rPr>
          <w:rFonts w:ascii="Times New Roman" w:hAnsi="Times New Roman" w:cs="Times New Roman"/>
          <w:color w:val="000000" w:themeColor="text1"/>
          <w:lang w:val="lv-LV"/>
        </w:rPr>
        <w:t>līdzfinansējumu</w:t>
      </w:r>
      <w:r w:rsidR="00A80C9E" w:rsidRPr="007A55A2">
        <w:rPr>
          <w:rFonts w:ascii="Times New Roman" w:hAnsi="Times New Roman" w:cs="Times New Roman"/>
          <w:color w:val="000000" w:themeColor="text1"/>
          <w:lang w:val="lv-LV"/>
        </w:rPr>
        <w:t xml:space="preserve"> piešķir no </w:t>
      </w:r>
      <w:r w:rsidR="000B7738" w:rsidRPr="007A55A2">
        <w:rPr>
          <w:rFonts w:ascii="Times New Roman" w:hAnsi="Times New Roman" w:cs="Times New Roman"/>
          <w:color w:val="000000" w:themeColor="text1"/>
          <w:lang w:val="lv-LV"/>
        </w:rPr>
        <w:t>v</w:t>
      </w:r>
      <w:r w:rsidR="00A80C9E" w:rsidRPr="007A55A2">
        <w:rPr>
          <w:rFonts w:ascii="Times New Roman" w:hAnsi="Times New Roman" w:cs="Times New Roman"/>
          <w:color w:val="000000" w:themeColor="text1"/>
          <w:lang w:val="lv-LV"/>
        </w:rPr>
        <w:t>alsts budžeta</w:t>
      </w:r>
      <w:r w:rsidR="00C12317" w:rsidRPr="007A55A2">
        <w:rPr>
          <w:rFonts w:ascii="Times New Roman" w:hAnsi="Times New Roman" w:cs="Times New Roman"/>
          <w:color w:val="000000" w:themeColor="text1"/>
          <w:lang w:val="lv-LV"/>
        </w:rPr>
        <w:t xml:space="preserve"> </w:t>
      </w:r>
      <w:r w:rsidR="004E22C9" w:rsidRPr="007A55A2">
        <w:rPr>
          <w:rFonts w:ascii="Times New Roman" w:hAnsi="Times New Roman" w:cs="Times New Roman"/>
          <w:color w:val="000000" w:themeColor="text1"/>
          <w:lang w:val="lv-LV"/>
        </w:rPr>
        <w:t>(detalizēti skat. noteikumu 5. punktā)</w:t>
      </w:r>
      <w:r w:rsidR="00A80C9E" w:rsidRPr="007A55A2">
        <w:rPr>
          <w:rFonts w:ascii="Times New Roman" w:hAnsi="Times New Roman" w:cs="Times New Roman"/>
          <w:color w:val="000000" w:themeColor="text1"/>
          <w:lang w:val="lv-LV"/>
        </w:rPr>
        <w:t>. Kā pazīstamākas šāda veida programmas jāmin (pilnu uzskatījumu skat. noteikumu 4. punktā):</w:t>
      </w:r>
    </w:p>
    <w:p w14:paraId="0F64CD61" w14:textId="77777777" w:rsidR="00A80C9E" w:rsidRPr="007A55A2" w:rsidRDefault="00A80C9E" w:rsidP="00367B4E">
      <w:pPr>
        <w:pStyle w:val="ListParagraph"/>
        <w:numPr>
          <w:ilvl w:val="0"/>
          <w:numId w:val="4"/>
        </w:numPr>
        <w:ind w:left="993"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pamatprogrammas "Apvārsnis 2020" ERA-NET COFUND aktivitātes ERA-NET aktivitātes) ietvaros atbalstīti projekti;</w:t>
      </w:r>
    </w:p>
    <w:p w14:paraId="2927C347" w14:textId="77777777" w:rsidR="00A80C9E" w:rsidRPr="007A55A2" w:rsidRDefault="00A80C9E" w:rsidP="00367B4E">
      <w:pPr>
        <w:pStyle w:val="ListParagraph"/>
        <w:numPr>
          <w:ilvl w:val="0"/>
          <w:numId w:val="4"/>
        </w:numPr>
        <w:ind w:left="993"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pamatprogrammas "Apvārsnis Eiropa" Eiropas partnerību ietvaros atbalstīti projekti;</w:t>
      </w:r>
    </w:p>
    <w:p w14:paraId="757B47BE" w14:textId="77777777" w:rsidR="00A80C9E" w:rsidRPr="007A55A2" w:rsidRDefault="00A80C9E" w:rsidP="00367B4E">
      <w:pPr>
        <w:pStyle w:val="ListParagraph"/>
        <w:numPr>
          <w:ilvl w:val="0"/>
          <w:numId w:val="4"/>
        </w:numPr>
        <w:ind w:left="993"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EUREKA programmas klasteru ietvaros atbalstīti projekti.</w:t>
      </w:r>
    </w:p>
    <w:p w14:paraId="42D3F43A" w14:textId="03EAC584" w:rsidR="00362BC1" w:rsidRPr="007A55A2" w:rsidRDefault="00A743DD" w:rsidP="00367B4E">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Jāatzīmē, ka šādu projektu īstenošanas un finansēšanas noteikumi ir saskaņoti starp dalībvalstu institūcijām, kuras koordinē attiecīgo pētniecības un tehnoloģiju programmu un projektu finansēšanu un īstenošanu, un šo konkursu nolikumi ir kopēji visām dalībvalstis pārstāvošajām organizācijām. Tas ļauj nodrošināt, ka visas institūcijas īsteno šos projektus, ievērojot vienādus nosacījumus. Pretējā gadījumā projektu īstenošana būtu apgrūtināta. Jāatzīmē, ka MK noteikumu Nr. 259 2.27. punkts nosaka, ka projektu īstenošana jānodrošina atbilstoši iepriekš minētajai Eiropas Parlamenta un Padomes regulai 2021/695, tādējādi paredzot vienotu pieeju starptautisku pētniecības, attīstības un inovāciju projektu īstenošanai arī Latvijas šo projektu dalībniekiem. </w:t>
      </w:r>
      <w:r w:rsidR="00134703" w:rsidRPr="007A55A2">
        <w:rPr>
          <w:rFonts w:ascii="Times New Roman" w:hAnsi="Times New Roman" w:cs="Times New Roman"/>
          <w:color w:val="000000" w:themeColor="text1"/>
          <w:lang w:val="lv-LV"/>
        </w:rPr>
        <w:t>N</w:t>
      </w:r>
      <w:r w:rsidR="00B9634C" w:rsidRPr="007A55A2">
        <w:rPr>
          <w:rFonts w:ascii="Times New Roman" w:hAnsi="Times New Roman" w:cs="Times New Roman"/>
          <w:color w:val="000000" w:themeColor="text1"/>
          <w:lang w:val="lv-LV"/>
        </w:rPr>
        <w:t xml:space="preserve">etiešās izmaksas </w:t>
      </w:r>
      <w:r w:rsidR="0047455B" w:rsidRPr="007A55A2">
        <w:rPr>
          <w:rFonts w:ascii="Times New Roman" w:hAnsi="Times New Roman" w:cs="Times New Roman"/>
          <w:color w:val="000000" w:themeColor="text1"/>
          <w:lang w:val="lv-LV"/>
        </w:rPr>
        <w:t xml:space="preserve">šajos projektos </w:t>
      </w:r>
      <w:r w:rsidR="00485CCD" w:rsidRPr="007A55A2">
        <w:rPr>
          <w:rFonts w:ascii="Times New Roman" w:hAnsi="Times New Roman" w:cs="Times New Roman"/>
          <w:color w:val="000000" w:themeColor="text1"/>
          <w:lang w:val="lv-LV"/>
        </w:rPr>
        <w:t>no valsts līdzfinansējuma</w:t>
      </w:r>
      <w:r w:rsidR="0081195D" w:rsidRPr="007A55A2">
        <w:rPr>
          <w:rFonts w:ascii="Times New Roman" w:hAnsi="Times New Roman" w:cs="Times New Roman"/>
          <w:color w:val="000000" w:themeColor="text1"/>
          <w:lang w:val="lv-LV"/>
        </w:rPr>
        <w:t xml:space="preserve"> </w:t>
      </w:r>
      <w:r w:rsidR="0047455B" w:rsidRPr="007A55A2">
        <w:rPr>
          <w:rFonts w:ascii="Times New Roman" w:hAnsi="Times New Roman" w:cs="Times New Roman"/>
          <w:color w:val="000000" w:themeColor="text1"/>
          <w:lang w:val="lv-LV"/>
        </w:rPr>
        <w:t>Latvijas dalībniekam</w:t>
      </w:r>
      <w:r w:rsidR="00362BC1" w:rsidRPr="007A55A2">
        <w:rPr>
          <w:rFonts w:ascii="Times New Roman" w:hAnsi="Times New Roman" w:cs="Times New Roman"/>
          <w:color w:val="000000" w:themeColor="text1"/>
          <w:lang w:val="lv-LV"/>
        </w:rPr>
        <w:t>:</w:t>
      </w:r>
    </w:p>
    <w:p w14:paraId="37D6FD68" w14:textId="6490E47D" w:rsidR="00A31613" w:rsidRPr="007A55A2" w:rsidRDefault="005D1B16" w:rsidP="00367B4E">
      <w:pPr>
        <w:ind w:left="851"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w:t>
      </w:r>
      <w:r w:rsidR="002E31AA" w:rsidRPr="007A55A2">
        <w:rPr>
          <w:rFonts w:ascii="Times New Roman" w:hAnsi="Times New Roman" w:cs="Times New Roman"/>
          <w:color w:val="000000" w:themeColor="text1"/>
          <w:lang w:val="lv-LV"/>
        </w:rPr>
        <w:t>…</w:t>
      </w:r>
      <w:r w:rsidRPr="007A55A2">
        <w:rPr>
          <w:rFonts w:ascii="Times New Roman" w:hAnsi="Times New Roman" w:cs="Times New Roman"/>
          <w:color w:val="000000" w:themeColor="text1"/>
          <w:lang w:val="lv-LV"/>
        </w:rPr>
        <w:t xml:space="preserve"> </w:t>
      </w:r>
      <w:r w:rsidRPr="007A55A2">
        <w:rPr>
          <w:rFonts w:ascii="Times New Roman" w:hAnsi="Times New Roman" w:cs="Times New Roman"/>
          <w:i/>
          <w:iCs/>
          <w:color w:val="000000" w:themeColor="text1"/>
          <w:lang w:val="lv-LV"/>
        </w:rPr>
        <w:t xml:space="preserve">nepārsniedz 25 procentus no projekta tiešo izmaksu summas, kurā nav ieskaitītas </w:t>
      </w:r>
      <w:r w:rsidR="00A31613" w:rsidRPr="007A55A2">
        <w:rPr>
          <w:rFonts w:ascii="Times New Roman" w:hAnsi="Times New Roman" w:cs="Times New Roman"/>
          <w:i/>
          <w:iCs/>
          <w:color w:val="000000" w:themeColor="text1"/>
          <w:lang w:val="lv-LV"/>
        </w:rPr>
        <w:t>…</w:t>
      </w:r>
      <w:r w:rsidRPr="007A55A2">
        <w:rPr>
          <w:rFonts w:ascii="Times New Roman" w:hAnsi="Times New Roman" w:cs="Times New Roman"/>
          <w:i/>
          <w:iCs/>
          <w:color w:val="000000" w:themeColor="text1"/>
          <w:lang w:val="lv-LV"/>
        </w:rPr>
        <w:t xml:space="preserve"> ārpakalpojumu izmaksas</w:t>
      </w:r>
      <w:r w:rsidRPr="007A55A2">
        <w:rPr>
          <w:rFonts w:ascii="Times New Roman" w:hAnsi="Times New Roman" w:cs="Times New Roman"/>
          <w:color w:val="000000" w:themeColor="text1"/>
          <w:lang w:val="lv-LV"/>
        </w:rPr>
        <w:t>;</w:t>
      </w:r>
      <w:r w:rsidR="00380169" w:rsidRPr="007A55A2">
        <w:rPr>
          <w:rFonts w:ascii="Times New Roman" w:hAnsi="Times New Roman" w:cs="Times New Roman"/>
          <w:color w:val="000000" w:themeColor="text1"/>
          <w:lang w:val="lv-LV"/>
        </w:rPr>
        <w:t xml:space="preserve">…”. </w:t>
      </w:r>
      <w:r w:rsidR="00A31613" w:rsidRPr="007A55A2">
        <w:rPr>
          <w:rFonts w:ascii="Times New Roman" w:hAnsi="Times New Roman" w:cs="Times New Roman"/>
          <w:color w:val="000000" w:themeColor="text1"/>
          <w:lang w:val="lv-LV"/>
        </w:rPr>
        <w:t>(13.1.2.</w:t>
      </w:r>
      <w:r w:rsidR="00134703" w:rsidRPr="007A55A2">
        <w:rPr>
          <w:rFonts w:ascii="Times New Roman" w:hAnsi="Times New Roman" w:cs="Times New Roman"/>
          <w:color w:val="000000" w:themeColor="text1"/>
          <w:lang w:val="lv-LV"/>
        </w:rPr>
        <w:t xml:space="preserve"> punkts</w:t>
      </w:r>
      <w:r w:rsidR="00A31613" w:rsidRPr="007A55A2">
        <w:rPr>
          <w:rFonts w:ascii="Times New Roman" w:hAnsi="Times New Roman" w:cs="Times New Roman"/>
          <w:color w:val="000000" w:themeColor="text1"/>
          <w:lang w:val="lv-LV"/>
        </w:rPr>
        <w:t>).</w:t>
      </w:r>
    </w:p>
    <w:p w14:paraId="0AADF5A4" w14:textId="2F8CD3D8" w:rsidR="00C134F8" w:rsidRPr="007A55A2" w:rsidRDefault="00C134F8" w:rsidP="00367B4E">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Pēc būtības netiešo izmaksu noteikšanas kārtība </w:t>
      </w:r>
      <w:r w:rsidR="00A74225" w:rsidRPr="007A55A2">
        <w:rPr>
          <w:rFonts w:ascii="Times New Roman" w:hAnsi="Times New Roman" w:cs="Times New Roman"/>
          <w:color w:val="000000" w:themeColor="text1"/>
          <w:lang w:val="lv-LV"/>
        </w:rPr>
        <w:t xml:space="preserve">un likme </w:t>
      </w:r>
      <w:r w:rsidRPr="007A55A2">
        <w:rPr>
          <w:rFonts w:ascii="Times New Roman" w:hAnsi="Times New Roman" w:cs="Times New Roman"/>
          <w:color w:val="000000" w:themeColor="text1"/>
          <w:lang w:val="lv-LV"/>
        </w:rPr>
        <w:t>pamatprogrammas "Apvārsnis Eiropa"</w:t>
      </w:r>
      <w:r w:rsidR="005631C4" w:rsidRPr="007A55A2">
        <w:rPr>
          <w:rFonts w:ascii="Times New Roman" w:hAnsi="Times New Roman" w:cs="Times New Roman"/>
          <w:color w:val="000000" w:themeColor="text1"/>
          <w:lang w:val="lv-LV"/>
        </w:rPr>
        <w:t xml:space="preserve"> projektos un starptautiskās </w:t>
      </w:r>
      <w:r w:rsidR="00A74225" w:rsidRPr="007A55A2">
        <w:rPr>
          <w:rFonts w:ascii="Times New Roman" w:hAnsi="Times New Roman" w:cs="Times New Roman"/>
          <w:color w:val="000000" w:themeColor="text1"/>
          <w:lang w:val="lv-LV"/>
        </w:rPr>
        <w:t>pētniecības sadarbības projektos ir vienāda.</w:t>
      </w:r>
    </w:p>
    <w:p w14:paraId="09CD9418" w14:textId="7FF249BD" w:rsidR="009524DD" w:rsidRPr="007A55A2" w:rsidRDefault="009524DD" w:rsidP="00AB2FA5">
      <w:pPr>
        <w:keepNext/>
        <w:keepLines/>
        <w:spacing w:before="480"/>
        <w:ind w:right="-6"/>
        <w:jc w:val="center"/>
        <w:rPr>
          <w:rFonts w:ascii="Times New Roman" w:hAnsi="Times New Roman" w:cs="Times New Roman"/>
          <w:b/>
          <w:bCs/>
          <w:color w:val="000000" w:themeColor="text1"/>
          <w:lang w:val="lv-LV"/>
        </w:rPr>
      </w:pPr>
      <w:r w:rsidRPr="007A55A2">
        <w:rPr>
          <w:rFonts w:ascii="Times New Roman" w:hAnsi="Times New Roman" w:cs="Times New Roman"/>
          <w:b/>
          <w:bCs/>
          <w:color w:val="000000" w:themeColor="text1"/>
          <w:lang w:val="lv-LV"/>
        </w:rPr>
        <w:lastRenderedPageBreak/>
        <w:t>Inovāciju programmas un projekti</w:t>
      </w:r>
    </w:p>
    <w:p w14:paraId="1703DAE1" w14:textId="6539FB29" w:rsidR="003D077A" w:rsidRPr="007A55A2" w:rsidRDefault="007C07E9" w:rsidP="003D077A">
      <w:pPr>
        <w:ind w:right="-6"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Pēc prog</w:t>
      </w:r>
      <w:r w:rsidR="008437E1" w:rsidRPr="007A55A2">
        <w:rPr>
          <w:rFonts w:ascii="Times New Roman" w:hAnsi="Times New Roman" w:cs="Times New Roman"/>
          <w:color w:val="000000" w:themeColor="text1"/>
          <w:lang w:val="lv-LV"/>
        </w:rPr>
        <w:t>r</w:t>
      </w:r>
      <w:r w:rsidRPr="007A55A2">
        <w:rPr>
          <w:rFonts w:ascii="Times New Roman" w:hAnsi="Times New Roman" w:cs="Times New Roman"/>
          <w:color w:val="000000" w:themeColor="text1"/>
          <w:lang w:val="lv-LV"/>
        </w:rPr>
        <w:t>ammu mērķa</w:t>
      </w:r>
      <w:r w:rsidR="008437E1" w:rsidRPr="007A55A2">
        <w:rPr>
          <w:rFonts w:ascii="Times New Roman" w:hAnsi="Times New Roman" w:cs="Times New Roman"/>
          <w:color w:val="000000" w:themeColor="text1"/>
          <w:lang w:val="lv-LV"/>
        </w:rPr>
        <w:t xml:space="preserve"> inovāciju programmas un projektus var iedalīt di</w:t>
      </w:r>
      <w:r w:rsidR="00194A0E" w:rsidRPr="007A55A2">
        <w:rPr>
          <w:rFonts w:ascii="Times New Roman" w:hAnsi="Times New Roman" w:cs="Times New Roman"/>
          <w:color w:val="000000" w:themeColor="text1"/>
          <w:lang w:val="lv-LV"/>
        </w:rPr>
        <w:t>vu veidu programmās</w:t>
      </w:r>
      <w:r w:rsidR="008437E1" w:rsidRPr="007A55A2">
        <w:rPr>
          <w:rFonts w:ascii="Times New Roman" w:hAnsi="Times New Roman" w:cs="Times New Roman"/>
          <w:color w:val="000000" w:themeColor="text1"/>
          <w:lang w:val="lv-LV"/>
        </w:rPr>
        <w:t>. Vie</w:t>
      </w:r>
      <w:r w:rsidR="0096649D" w:rsidRPr="007A55A2">
        <w:rPr>
          <w:rFonts w:ascii="Times New Roman" w:hAnsi="Times New Roman" w:cs="Times New Roman"/>
          <w:color w:val="000000" w:themeColor="text1"/>
          <w:lang w:val="lv-LV"/>
        </w:rPr>
        <w:t>ns no tiem</w:t>
      </w:r>
      <w:r w:rsidR="008437E1" w:rsidRPr="007A55A2">
        <w:rPr>
          <w:rFonts w:ascii="Times New Roman" w:hAnsi="Times New Roman" w:cs="Times New Roman"/>
          <w:color w:val="000000" w:themeColor="text1"/>
          <w:lang w:val="lv-LV"/>
        </w:rPr>
        <w:t xml:space="preserve"> ir</w:t>
      </w:r>
      <w:r w:rsidR="008437E1" w:rsidRPr="007A55A2">
        <w:rPr>
          <w:rFonts w:ascii="Times New Roman" w:hAnsi="Times New Roman" w:cs="Times New Roman"/>
          <w:color w:val="000000" w:themeColor="text1"/>
          <w:u w:val="single"/>
          <w:lang w:val="lv-LV"/>
        </w:rPr>
        <w:t xml:space="preserve"> </w:t>
      </w:r>
      <w:r w:rsidR="00C345B7" w:rsidRPr="007A55A2">
        <w:rPr>
          <w:rFonts w:ascii="Times New Roman" w:hAnsi="Times New Roman" w:cs="Times New Roman"/>
          <w:color w:val="000000" w:themeColor="text1"/>
          <w:u w:val="single"/>
          <w:lang w:val="lv-LV"/>
        </w:rPr>
        <w:t>projekti, kur</w:t>
      </w:r>
      <w:r w:rsidRPr="007A55A2">
        <w:rPr>
          <w:rFonts w:ascii="Times New Roman" w:hAnsi="Times New Roman" w:cs="Times New Roman"/>
          <w:color w:val="000000" w:themeColor="text1"/>
          <w:u w:val="single"/>
          <w:lang w:val="lv-LV"/>
        </w:rPr>
        <w:t xml:space="preserve"> </w:t>
      </w:r>
      <w:r w:rsidR="00C345B7" w:rsidRPr="007A55A2">
        <w:rPr>
          <w:rFonts w:ascii="Times New Roman" w:hAnsi="Times New Roman" w:cs="Times New Roman"/>
          <w:color w:val="000000" w:themeColor="text1"/>
          <w:u w:val="single"/>
          <w:lang w:val="lv-LV"/>
        </w:rPr>
        <w:t>p</w:t>
      </w:r>
      <w:r w:rsidR="00E273B7" w:rsidRPr="007A55A2">
        <w:rPr>
          <w:rFonts w:ascii="Times New Roman" w:hAnsi="Times New Roman" w:cs="Times New Roman"/>
          <w:color w:val="000000" w:themeColor="text1"/>
          <w:u w:val="single"/>
          <w:lang w:val="lv-LV"/>
        </w:rPr>
        <w:t xml:space="preserve">ētniecības un inovāciju darbības </w:t>
      </w:r>
      <w:r w:rsidR="003D4305" w:rsidRPr="007A55A2">
        <w:rPr>
          <w:rFonts w:ascii="Times New Roman" w:hAnsi="Times New Roman" w:cs="Times New Roman"/>
          <w:color w:val="000000" w:themeColor="text1"/>
          <w:u w:val="single"/>
          <w:lang w:val="lv-LV"/>
        </w:rPr>
        <w:t xml:space="preserve">ir cieši </w:t>
      </w:r>
      <w:r w:rsidR="00593577" w:rsidRPr="007A55A2">
        <w:rPr>
          <w:rFonts w:ascii="Times New Roman" w:hAnsi="Times New Roman" w:cs="Times New Roman"/>
          <w:color w:val="000000" w:themeColor="text1"/>
          <w:u w:val="single"/>
          <w:lang w:val="lv-LV"/>
        </w:rPr>
        <w:t>saistītas</w:t>
      </w:r>
      <w:r w:rsidR="00593577" w:rsidRPr="007A55A2">
        <w:rPr>
          <w:rFonts w:ascii="Times New Roman" w:hAnsi="Times New Roman" w:cs="Times New Roman"/>
          <w:color w:val="000000" w:themeColor="text1"/>
          <w:lang w:val="lv-LV"/>
        </w:rPr>
        <w:t xml:space="preserve">, </w:t>
      </w:r>
      <w:r w:rsidR="000B2391" w:rsidRPr="007A55A2">
        <w:rPr>
          <w:rFonts w:ascii="Times New Roman" w:hAnsi="Times New Roman" w:cs="Times New Roman"/>
          <w:color w:val="000000" w:themeColor="text1"/>
          <w:lang w:val="lv-LV"/>
        </w:rPr>
        <w:t>nav atdalāmas</w:t>
      </w:r>
      <w:r w:rsidR="002A0F4A" w:rsidRPr="007A55A2">
        <w:rPr>
          <w:rFonts w:ascii="Times New Roman" w:hAnsi="Times New Roman" w:cs="Times New Roman"/>
          <w:color w:val="000000" w:themeColor="text1"/>
          <w:lang w:val="lv-LV"/>
        </w:rPr>
        <w:t>,</w:t>
      </w:r>
      <w:r w:rsidR="000B2391" w:rsidRPr="007A55A2">
        <w:rPr>
          <w:rFonts w:ascii="Times New Roman" w:hAnsi="Times New Roman" w:cs="Times New Roman"/>
          <w:color w:val="000000" w:themeColor="text1"/>
          <w:lang w:val="lv-LV"/>
        </w:rPr>
        <w:t xml:space="preserve"> un katra </w:t>
      </w:r>
      <w:r w:rsidR="007A1B8F" w:rsidRPr="007A55A2">
        <w:rPr>
          <w:rFonts w:ascii="Times New Roman" w:hAnsi="Times New Roman" w:cs="Times New Roman"/>
          <w:color w:val="000000" w:themeColor="text1"/>
          <w:lang w:val="lv-LV"/>
        </w:rPr>
        <w:t>no iepriekš apskatītājām programmā</w:t>
      </w:r>
      <w:r w:rsidR="0046055F" w:rsidRPr="007A55A2">
        <w:rPr>
          <w:rFonts w:ascii="Times New Roman" w:hAnsi="Times New Roman" w:cs="Times New Roman"/>
          <w:color w:val="000000" w:themeColor="text1"/>
          <w:lang w:val="lv-LV"/>
        </w:rPr>
        <w:t>m un projektu veidiem</w:t>
      </w:r>
      <w:r w:rsidR="007A1B8F" w:rsidRPr="007A55A2">
        <w:rPr>
          <w:rFonts w:ascii="Times New Roman" w:hAnsi="Times New Roman" w:cs="Times New Roman"/>
          <w:color w:val="000000" w:themeColor="text1"/>
          <w:lang w:val="lv-LV"/>
        </w:rPr>
        <w:t xml:space="preserve"> noteiktā mērā ietver abus šos komponentus</w:t>
      </w:r>
      <w:r w:rsidR="0046055F" w:rsidRPr="007A55A2">
        <w:rPr>
          <w:rFonts w:ascii="Times New Roman" w:hAnsi="Times New Roman" w:cs="Times New Roman"/>
          <w:color w:val="000000" w:themeColor="text1"/>
          <w:lang w:val="lv-LV"/>
        </w:rPr>
        <w:t xml:space="preserve">. </w:t>
      </w:r>
      <w:r w:rsidR="001837B0" w:rsidRPr="007A55A2">
        <w:rPr>
          <w:rFonts w:ascii="Times New Roman" w:hAnsi="Times New Roman" w:cs="Times New Roman"/>
          <w:color w:val="000000" w:themeColor="text1"/>
          <w:lang w:val="lv-LV"/>
        </w:rPr>
        <w:t>Minētais programmu un projektu veids ir sarežģītā</w:t>
      </w:r>
      <w:r w:rsidR="005308B1" w:rsidRPr="007A55A2">
        <w:rPr>
          <w:rFonts w:ascii="Times New Roman" w:hAnsi="Times New Roman" w:cs="Times New Roman"/>
          <w:color w:val="000000" w:themeColor="text1"/>
          <w:lang w:val="lv-LV"/>
        </w:rPr>
        <w:t xml:space="preserve">k īstenojams, jo </w:t>
      </w:r>
      <w:r w:rsidR="005D5F96" w:rsidRPr="007A55A2">
        <w:rPr>
          <w:rFonts w:ascii="Times New Roman" w:hAnsi="Times New Roman" w:cs="Times New Roman"/>
          <w:color w:val="000000" w:themeColor="text1"/>
          <w:lang w:val="lv-LV"/>
        </w:rPr>
        <w:t>nav iespējams objektīvi un precīzi nodalīt izmaksas starp pētniecības un inovāciju aktivitātēm, jo tās norisinās paralēli un mijiedarbībā (piemēram, pētniecības rezultāti tiek nekavējoties testēti vai pielāgoti inovācijai), projektu administratīvā pārvaldība ir kopīga un infrastruktūra, personāls un atbalsta funkcijas (grāmatvedība, komunikācija, telpas, IT utt.) tiek izmantotas abām aktivitātēm, kā arī tiek nodrošināta atbilstība ES praksei, kas nodrošina efektīvu un vienotu projektu finanšu pārvaldību</w:t>
      </w:r>
      <w:r w:rsidR="00F0658B" w:rsidRPr="007A55A2">
        <w:rPr>
          <w:rFonts w:ascii="Times New Roman" w:hAnsi="Times New Roman" w:cs="Times New Roman"/>
          <w:color w:val="000000" w:themeColor="text1"/>
          <w:lang w:val="lv-LV"/>
        </w:rPr>
        <w:t xml:space="preserve">. </w:t>
      </w:r>
      <w:r w:rsidR="002036DA" w:rsidRPr="007A55A2">
        <w:rPr>
          <w:rFonts w:ascii="Times New Roman" w:hAnsi="Times New Roman" w:cs="Times New Roman"/>
          <w:color w:val="000000" w:themeColor="text1"/>
          <w:lang w:val="lv-LV"/>
        </w:rPr>
        <w:t>p</w:t>
      </w:r>
      <w:r w:rsidR="005F016B" w:rsidRPr="007A55A2">
        <w:rPr>
          <w:rFonts w:ascii="Times New Roman" w:hAnsi="Times New Roman" w:cs="Times New Roman"/>
          <w:color w:val="000000" w:themeColor="text1"/>
          <w:lang w:val="lv-LV"/>
        </w:rPr>
        <w:t>ētniecības un inovācijas pamatprogrammas "Apvārsnis Eiropa"</w:t>
      </w:r>
      <w:r w:rsidR="00EA182F" w:rsidRPr="007A55A2">
        <w:rPr>
          <w:rFonts w:ascii="Times New Roman" w:hAnsi="Times New Roman" w:cs="Times New Roman"/>
          <w:color w:val="000000" w:themeColor="text1"/>
          <w:lang w:val="lv-LV"/>
        </w:rPr>
        <w:t xml:space="preserve"> pats nosaukums jau norāda šo komponentu </w:t>
      </w:r>
      <w:r w:rsidR="003814AD" w:rsidRPr="007A55A2">
        <w:rPr>
          <w:rFonts w:ascii="Times New Roman" w:hAnsi="Times New Roman" w:cs="Times New Roman"/>
          <w:color w:val="000000" w:themeColor="text1"/>
          <w:lang w:val="lv-LV"/>
        </w:rPr>
        <w:t>saistību.</w:t>
      </w:r>
      <w:r w:rsidR="00F36FD1" w:rsidRPr="007A55A2">
        <w:rPr>
          <w:rFonts w:ascii="Times New Roman" w:hAnsi="Times New Roman" w:cs="Times New Roman"/>
          <w:color w:val="000000" w:themeColor="text1"/>
          <w:lang w:val="lv-LV"/>
        </w:rPr>
        <w:t xml:space="preserve"> Citos gadījumos programm</w:t>
      </w:r>
      <w:r w:rsidR="007F59A1" w:rsidRPr="007A55A2">
        <w:rPr>
          <w:rFonts w:ascii="Times New Roman" w:hAnsi="Times New Roman" w:cs="Times New Roman"/>
          <w:color w:val="000000" w:themeColor="text1"/>
          <w:lang w:val="lv-LV"/>
        </w:rPr>
        <w:t>u nosaukumos tiek akcen</w:t>
      </w:r>
      <w:r w:rsidR="00073065" w:rsidRPr="007A55A2">
        <w:rPr>
          <w:rFonts w:ascii="Times New Roman" w:hAnsi="Times New Roman" w:cs="Times New Roman"/>
          <w:color w:val="000000" w:themeColor="text1"/>
          <w:lang w:val="lv-LV"/>
        </w:rPr>
        <w:t>tēt</w:t>
      </w:r>
      <w:r w:rsidR="00374E83" w:rsidRPr="007A55A2">
        <w:rPr>
          <w:rFonts w:ascii="Times New Roman" w:hAnsi="Times New Roman" w:cs="Times New Roman"/>
          <w:color w:val="000000" w:themeColor="text1"/>
          <w:lang w:val="lv-LV"/>
        </w:rPr>
        <w:t>a</w:t>
      </w:r>
      <w:r w:rsidR="00322ED3" w:rsidRPr="007A55A2">
        <w:rPr>
          <w:rFonts w:ascii="Times New Roman" w:hAnsi="Times New Roman" w:cs="Times New Roman"/>
          <w:color w:val="000000" w:themeColor="text1"/>
          <w:lang w:val="lv-LV"/>
        </w:rPr>
        <w:t xml:space="preserve"> darbība tehnoloģiju jomā</w:t>
      </w:r>
      <w:r w:rsidR="002C58E1" w:rsidRPr="007A55A2">
        <w:rPr>
          <w:rFonts w:ascii="Times New Roman" w:hAnsi="Times New Roman" w:cs="Times New Roman"/>
          <w:color w:val="000000" w:themeColor="text1"/>
          <w:lang w:val="lv-LV"/>
        </w:rPr>
        <w:t xml:space="preserve"> (MK noteikumi Nr. 259</w:t>
      </w:r>
      <w:r w:rsidR="002C58E1" w:rsidRPr="007A55A2">
        <w:rPr>
          <w:rStyle w:val="FootnoteReference"/>
          <w:rFonts w:ascii="Times New Roman" w:hAnsi="Times New Roman" w:cs="Times New Roman"/>
          <w:color w:val="000000" w:themeColor="text1"/>
          <w:lang w:val="lv-LV"/>
        </w:rPr>
        <w:footnoteReference w:id="15"/>
      </w:r>
      <w:r w:rsidR="002C58E1" w:rsidRPr="007A55A2">
        <w:rPr>
          <w:rFonts w:ascii="Times New Roman" w:hAnsi="Times New Roman" w:cs="Times New Roman"/>
          <w:color w:val="000000" w:themeColor="text1"/>
          <w:lang w:val="lv-LV"/>
        </w:rPr>
        <w:t xml:space="preserve">) </w:t>
      </w:r>
      <w:r w:rsidR="00CD6F3E" w:rsidRPr="007A55A2">
        <w:rPr>
          <w:rFonts w:ascii="Times New Roman" w:hAnsi="Times New Roman" w:cs="Times New Roman"/>
          <w:color w:val="000000" w:themeColor="text1"/>
          <w:lang w:val="lv-LV"/>
        </w:rPr>
        <w:t xml:space="preserve">vai </w:t>
      </w:r>
      <w:r w:rsidR="00465E0C" w:rsidRPr="007A55A2">
        <w:rPr>
          <w:rFonts w:ascii="Times New Roman" w:hAnsi="Times New Roman" w:cs="Times New Roman"/>
          <w:color w:val="000000" w:themeColor="text1"/>
          <w:lang w:val="lv-LV"/>
        </w:rPr>
        <w:t>praktiskas ievirzes pētījumi (</w:t>
      </w:r>
      <w:r w:rsidR="003C6A70" w:rsidRPr="007A55A2">
        <w:rPr>
          <w:rFonts w:ascii="Times New Roman" w:hAnsi="Times New Roman" w:cs="Times New Roman"/>
          <w:color w:val="000000" w:themeColor="text1"/>
          <w:lang w:val="lv-LV"/>
        </w:rPr>
        <w:t>MK noteikumi Nr. 34</w:t>
      </w:r>
      <w:r w:rsidR="003C6A70" w:rsidRPr="007A55A2">
        <w:rPr>
          <w:rStyle w:val="FootnoteReference"/>
          <w:rFonts w:ascii="Times New Roman" w:hAnsi="Times New Roman" w:cs="Times New Roman"/>
          <w:color w:val="000000" w:themeColor="text1"/>
          <w:lang w:val="lv-LV"/>
        </w:rPr>
        <w:footnoteReference w:id="16"/>
      </w:r>
      <w:r w:rsidR="005B1027" w:rsidRPr="007A55A2">
        <w:rPr>
          <w:rFonts w:ascii="Times New Roman" w:hAnsi="Times New Roman" w:cs="Times New Roman"/>
          <w:color w:val="000000" w:themeColor="text1"/>
          <w:lang w:val="lv-LV"/>
        </w:rPr>
        <w:t>; MK Noteikumi Nr. 407</w:t>
      </w:r>
      <w:r w:rsidR="005B1027" w:rsidRPr="007A55A2">
        <w:rPr>
          <w:rStyle w:val="FootnoteReference"/>
          <w:rFonts w:ascii="Times New Roman" w:hAnsi="Times New Roman" w:cs="Times New Roman"/>
          <w:color w:val="000000" w:themeColor="text1"/>
          <w:lang w:val="lv-LV"/>
        </w:rPr>
        <w:footnoteReference w:id="17"/>
      </w:r>
      <w:r w:rsidR="00465E0C" w:rsidRPr="007A55A2">
        <w:rPr>
          <w:rFonts w:ascii="Times New Roman" w:hAnsi="Times New Roman" w:cs="Times New Roman"/>
          <w:color w:val="000000" w:themeColor="text1"/>
          <w:lang w:val="lv-LV"/>
        </w:rPr>
        <w:t>)</w:t>
      </w:r>
      <w:r w:rsidR="004E4FDC" w:rsidRPr="007A55A2">
        <w:rPr>
          <w:rFonts w:ascii="Times New Roman" w:hAnsi="Times New Roman" w:cs="Times New Roman"/>
          <w:color w:val="000000" w:themeColor="text1"/>
          <w:lang w:val="lv-LV"/>
        </w:rPr>
        <w:t xml:space="preserve">, bet </w:t>
      </w:r>
      <w:r w:rsidR="001A690E" w:rsidRPr="007A55A2">
        <w:rPr>
          <w:rFonts w:ascii="Times New Roman" w:hAnsi="Times New Roman" w:cs="Times New Roman"/>
          <w:color w:val="000000" w:themeColor="text1"/>
          <w:lang w:val="lv-LV"/>
        </w:rPr>
        <w:t xml:space="preserve">pats regulējums tieši saista pētnieciskas un inovāciju darbības </w:t>
      </w:r>
      <w:r w:rsidR="005F43CA" w:rsidRPr="007A55A2">
        <w:rPr>
          <w:rFonts w:ascii="Times New Roman" w:hAnsi="Times New Roman" w:cs="Times New Roman"/>
          <w:color w:val="000000" w:themeColor="text1"/>
          <w:lang w:val="lv-LV"/>
        </w:rPr>
        <w:t>vienotā kopumā. Kā</w:t>
      </w:r>
      <w:r w:rsidR="00A817AD" w:rsidRPr="007A55A2">
        <w:rPr>
          <w:rFonts w:ascii="Times New Roman" w:hAnsi="Times New Roman" w:cs="Times New Roman"/>
          <w:color w:val="000000" w:themeColor="text1"/>
          <w:lang w:val="lv-LV"/>
        </w:rPr>
        <w:t xml:space="preserve"> parādīts iepriekšējās nodaļās</w:t>
      </w:r>
      <w:r w:rsidR="005F43CA" w:rsidRPr="007A55A2">
        <w:rPr>
          <w:rFonts w:ascii="Times New Roman" w:hAnsi="Times New Roman" w:cs="Times New Roman"/>
          <w:color w:val="000000" w:themeColor="text1"/>
          <w:lang w:val="lv-LV"/>
        </w:rPr>
        <w:t xml:space="preserve">, visi šie normatīvie akti </w:t>
      </w:r>
      <w:r w:rsidR="003253EB" w:rsidRPr="007A55A2">
        <w:rPr>
          <w:rFonts w:ascii="Times New Roman" w:hAnsi="Times New Roman" w:cs="Times New Roman"/>
          <w:color w:val="000000" w:themeColor="text1"/>
          <w:lang w:val="lv-LV"/>
        </w:rPr>
        <w:t>attiecībā gan pret starptautisk</w:t>
      </w:r>
      <w:r w:rsidR="00BA47DB" w:rsidRPr="007A55A2">
        <w:rPr>
          <w:rFonts w:ascii="Times New Roman" w:hAnsi="Times New Roman" w:cs="Times New Roman"/>
          <w:color w:val="000000" w:themeColor="text1"/>
          <w:lang w:val="lv-LV"/>
        </w:rPr>
        <w:t>u</w:t>
      </w:r>
      <w:r w:rsidR="00AF26B7" w:rsidRPr="007A55A2">
        <w:rPr>
          <w:rFonts w:ascii="Times New Roman" w:hAnsi="Times New Roman" w:cs="Times New Roman"/>
          <w:color w:val="000000" w:themeColor="text1"/>
          <w:lang w:val="lv-LV"/>
        </w:rPr>
        <w:t>, gan nacionāl</w:t>
      </w:r>
      <w:r w:rsidR="006440F4" w:rsidRPr="007A55A2">
        <w:rPr>
          <w:rFonts w:ascii="Times New Roman" w:hAnsi="Times New Roman" w:cs="Times New Roman"/>
          <w:color w:val="000000" w:themeColor="text1"/>
          <w:lang w:val="lv-LV"/>
        </w:rPr>
        <w:t>a mēroga</w:t>
      </w:r>
      <w:r w:rsidR="00AF26B7" w:rsidRPr="007A55A2">
        <w:rPr>
          <w:rFonts w:ascii="Times New Roman" w:hAnsi="Times New Roman" w:cs="Times New Roman"/>
          <w:color w:val="000000" w:themeColor="text1"/>
          <w:lang w:val="lv-LV"/>
        </w:rPr>
        <w:t xml:space="preserve"> program</w:t>
      </w:r>
      <w:r w:rsidR="00C149B4" w:rsidRPr="007A55A2">
        <w:rPr>
          <w:rFonts w:ascii="Times New Roman" w:hAnsi="Times New Roman" w:cs="Times New Roman"/>
          <w:color w:val="000000" w:themeColor="text1"/>
          <w:lang w:val="lv-LV"/>
        </w:rPr>
        <w:t>m</w:t>
      </w:r>
      <w:r w:rsidR="00BA47DB" w:rsidRPr="007A55A2">
        <w:rPr>
          <w:rFonts w:ascii="Times New Roman" w:hAnsi="Times New Roman" w:cs="Times New Roman"/>
          <w:color w:val="000000" w:themeColor="text1"/>
          <w:lang w:val="lv-LV"/>
        </w:rPr>
        <w:t>u</w:t>
      </w:r>
      <w:r w:rsidR="00AF26B7" w:rsidRPr="007A55A2">
        <w:rPr>
          <w:rFonts w:ascii="Times New Roman" w:hAnsi="Times New Roman" w:cs="Times New Roman"/>
          <w:color w:val="000000" w:themeColor="text1"/>
          <w:lang w:val="lv-LV"/>
        </w:rPr>
        <w:t>, gan no Eiropas Savienības</w:t>
      </w:r>
      <w:r w:rsidR="006440F4" w:rsidRPr="007A55A2">
        <w:rPr>
          <w:rFonts w:ascii="Times New Roman" w:hAnsi="Times New Roman" w:cs="Times New Roman"/>
          <w:color w:val="000000" w:themeColor="text1"/>
          <w:lang w:val="lv-LV"/>
        </w:rPr>
        <w:t xml:space="preserve"> finansēt</w:t>
      </w:r>
      <w:r w:rsidR="00C149B4" w:rsidRPr="007A55A2">
        <w:rPr>
          <w:rFonts w:ascii="Times New Roman" w:hAnsi="Times New Roman" w:cs="Times New Roman"/>
          <w:color w:val="000000" w:themeColor="text1"/>
          <w:lang w:val="lv-LV"/>
        </w:rPr>
        <w:t>u</w:t>
      </w:r>
      <w:r w:rsidR="006440F4" w:rsidRPr="007A55A2">
        <w:rPr>
          <w:rFonts w:ascii="Times New Roman" w:hAnsi="Times New Roman" w:cs="Times New Roman"/>
          <w:color w:val="000000" w:themeColor="text1"/>
          <w:lang w:val="lv-LV"/>
        </w:rPr>
        <w:t>, gan Eiropas Savienības struktūrfondu līdzfinansēt</w:t>
      </w:r>
      <w:r w:rsidR="00C149B4" w:rsidRPr="007A55A2">
        <w:rPr>
          <w:rFonts w:ascii="Times New Roman" w:hAnsi="Times New Roman" w:cs="Times New Roman"/>
          <w:color w:val="000000" w:themeColor="text1"/>
          <w:lang w:val="lv-LV"/>
        </w:rPr>
        <w:t>u</w:t>
      </w:r>
      <w:r w:rsidR="003D077A" w:rsidRPr="007A55A2">
        <w:rPr>
          <w:rFonts w:ascii="Times New Roman" w:hAnsi="Times New Roman" w:cs="Times New Roman"/>
          <w:color w:val="000000" w:themeColor="text1"/>
          <w:lang w:val="lv-LV"/>
        </w:rPr>
        <w:t>, gan Latvijas valsts budžeta finansēt</w:t>
      </w:r>
      <w:r w:rsidR="00C149B4" w:rsidRPr="007A55A2">
        <w:rPr>
          <w:rFonts w:ascii="Times New Roman" w:hAnsi="Times New Roman" w:cs="Times New Roman"/>
          <w:color w:val="000000" w:themeColor="text1"/>
          <w:lang w:val="lv-LV"/>
        </w:rPr>
        <w:t xml:space="preserve">u </w:t>
      </w:r>
      <w:r w:rsidR="007C3871" w:rsidRPr="007A55A2">
        <w:rPr>
          <w:rFonts w:ascii="Times New Roman" w:hAnsi="Times New Roman" w:cs="Times New Roman"/>
          <w:color w:val="000000" w:themeColor="text1"/>
          <w:lang w:val="lv-LV"/>
        </w:rPr>
        <w:t xml:space="preserve">programmu projektu gadījumā paredz, ar nedaudz atšķirīgiem formulējumiem, </w:t>
      </w:r>
      <w:r w:rsidR="00586A56" w:rsidRPr="007A55A2">
        <w:rPr>
          <w:rFonts w:ascii="Times New Roman" w:hAnsi="Times New Roman" w:cs="Times New Roman"/>
          <w:color w:val="000000" w:themeColor="text1"/>
          <w:lang w:val="lv-LV"/>
        </w:rPr>
        <w:t xml:space="preserve">netiešās izmaksas </w:t>
      </w:r>
      <w:r w:rsidR="00E03E6A" w:rsidRPr="007A55A2">
        <w:rPr>
          <w:rFonts w:ascii="Times New Roman" w:hAnsi="Times New Roman" w:cs="Times New Roman"/>
          <w:color w:val="000000" w:themeColor="text1"/>
          <w:lang w:val="lv-LV"/>
        </w:rPr>
        <w:t xml:space="preserve">vai nu </w:t>
      </w:r>
      <w:r w:rsidR="002D4B10" w:rsidRPr="007A55A2">
        <w:rPr>
          <w:rFonts w:ascii="Times New Roman" w:hAnsi="Times New Roman" w:cs="Times New Roman"/>
          <w:color w:val="000000" w:themeColor="text1"/>
          <w:lang w:val="lv-LV"/>
        </w:rPr>
        <w:t>vienot</w:t>
      </w:r>
      <w:r w:rsidR="00BC422B" w:rsidRPr="007A55A2">
        <w:rPr>
          <w:rFonts w:ascii="Times New Roman" w:hAnsi="Times New Roman" w:cs="Times New Roman"/>
          <w:color w:val="000000" w:themeColor="text1"/>
          <w:lang w:val="lv-LV"/>
        </w:rPr>
        <w:t>as</w:t>
      </w:r>
      <w:r w:rsidR="002D4B10" w:rsidRPr="007A55A2">
        <w:rPr>
          <w:rFonts w:ascii="Times New Roman" w:hAnsi="Times New Roman" w:cs="Times New Roman"/>
          <w:color w:val="000000" w:themeColor="text1"/>
          <w:lang w:val="lv-LV"/>
        </w:rPr>
        <w:t xml:space="preserve"> 25% </w:t>
      </w:r>
      <w:r w:rsidR="00E03E6A" w:rsidRPr="007A55A2">
        <w:rPr>
          <w:rFonts w:ascii="Times New Roman" w:hAnsi="Times New Roman" w:cs="Times New Roman"/>
          <w:color w:val="000000" w:themeColor="text1"/>
          <w:lang w:val="lv-LV"/>
        </w:rPr>
        <w:t>likm</w:t>
      </w:r>
      <w:r w:rsidR="00BC422B" w:rsidRPr="007A55A2">
        <w:rPr>
          <w:rFonts w:ascii="Times New Roman" w:hAnsi="Times New Roman" w:cs="Times New Roman"/>
          <w:color w:val="000000" w:themeColor="text1"/>
          <w:lang w:val="lv-LV"/>
        </w:rPr>
        <w:t>es apmērā</w:t>
      </w:r>
      <w:r w:rsidR="00E03E6A" w:rsidRPr="007A55A2">
        <w:rPr>
          <w:rFonts w:ascii="Times New Roman" w:hAnsi="Times New Roman" w:cs="Times New Roman"/>
          <w:color w:val="000000" w:themeColor="text1"/>
          <w:lang w:val="lv-LV"/>
        </w:rPr>
        <w:t xml:space="preserve"> </w:t>
      </w:r>
      <w:r w:rsidR="002D4B10" w:rsidRPr="007A55A2">
        <w:rPr>
          <w:rFonts w:ascii="Times New Roman" w:hAnsi="Times New Roman" w:cs="Times New Roman"/>
          <w:color w:val="000000" w:themeColor="text1"/>
          <w:lang w:val="lv-LV"/>
        </w:rPr>
        <w:t xml:space="preserve">vai </w:t>
      </w:r>
      <w:r w:rsidR="00586A56" w:rsidRPr="007A55A2">
        <w:rPr>
          <w:rFonts w:ascii="Times New Roman" w:hAnsi="Times New Roman" w:cs="Times New Roman"/>
          <w:color w:val="000000" w:themeColor="text1"/>
          <w:lang w:val="lv-LV"/>
        </w:rPr>
        <w:t xml:space="preserve">līdz </w:t>
      </w:r>
      <w:r w:rsidR="008051F8" w:rsidRPr="007A55A2">
        <w:rPr>
          <w:rFonts w:ascii="Times New Roman" w:hAnsi="Times New Roman" w:cs="Times New Roman"/>
          <w:color w:val="000000" w:themeColor="text1"/>
          <w:lang w:val="lv-LV"/>
        </w:rPr>
        <w:t>25</w:t>
      </w:r>
      <w:r w:rsidR="00586A56" w:rsidRPr="007A55A2">
        <w:rPr>
          <w:rFonts w:ascii="Times New Roman" w:hAnsi="Times New Roman" w:cs="Times New Roman"/>
          <w:color w:val="000000" w:themeColor="text1"/>
          <w:lang w:val="lv-LV"/>
        </w:rPr>
        <w:t>%</w:t>
      </w:r>
      <w:r w:rsidR="008051F8" w:rsidRPr="007A55A2">
        <w:rPr>
          <w:rFonts w:ascii="Times New Roman" w:hAnsi="Times New Roman" w:cs="Times New Roman"/>
          <w:color w:val="000000" w:themeColor="text1"/>
          <w:lang w:val="lv-LV"/>
        </w:rPr>
        <w:t xml:space="preserve"> no projekta tiešo izmaksu summas, kurā </w:t>
      </w:r>
      <w:r w:rsidR="00C22535" w:rsidRPr="007A55A2">
        <w:rPr>
          <w:rFonts w:ascii="Times New Roman" w:hAnsi="Times New Roman" w:cs="Times New Roman"/>
          <w:color w:val="000000" w:themeColor="text1"/>
          <w:lang w:val="lv-LV"/>
        </w:rPr>
        <w:t xml:space="preserve">abos gadījumos </w:t>
      </w:r>
      <w:r w:rsidR="008051F8" w:rsidRPr="007A55A2">
        <w:rPr>
          <w:rFonts w:ascii="Times New Roman" w:hAnsi="Times New Roman" w:cs="Times New Roman"/>
          <w:color w:val="000000" w:themeColor="text1"/>
          <w:lang w:val="lv-LV"/>
        </w:rPr>
        <w:t>nav ieskaitītas ārpakalpojumu izmaksas</w:t>
      </w:r>
      <w:r w:rsidR="00C22535" w:rsidRPr="007A55A2">
        <w:rPr>
          <w:rFonts w:ascii="Times New Roman" w:hAnsi="Times New Roman" w:cs="Times New Roman"/>
          <w:color w:val="000000" w:themeColor="text1"/>
          <w:lang w:val="lv-LV"/>
        </w:rPr>
        <w:t>.</w:t>
      </w:r>
    </w:p>
    <w:p w14:paraId="47664D1C" w14:textId="02E87E8C" w:rsidR="00C122A7" w:rsidRPr="007A55A2" w:rsidRDefault="00B52508" w:rsidP="006546CB">
      <w:pPr>
        <w:ind w:right="-6"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Kā no</w:t>
      </w:r>
      <w:r w:rsidR="00DA2E25" w:rsidRPr="007A55A2">
        <w:rPr>
          <w:rFonts w:ascii="Times New Roman" w:hAnsi="Times New Roman" w:cs="Times New Roman"/>
          <w:color w:val="000000" w:themeColor="text1"/>
          <w:lang w:val="lv-LV"/>
        </w:rPr>
        <w:t xml:space="preserve"> Latvijas valsts budžeta finansēt</w:t>
      </w:r>
      <w:r w:rsidRPr="007A55A2">
        <w:rPr>
          <w:rFonts w:ascii="Times New Roman" w:hAnsi="Times New Roman" w:cs="Times New Roman"/>
          <w:color w:val="000000" w:themeColor="text1"/>
          <w:lang w:val="lv-LV"/>
        </w:rPr>
        <w:t xml:space="preserve">u </w:t>
      </w:r>
      <w:r w:rsidR="00017E8B" w:rsidRPr="007A55A2">
        <w:rPr>
          <w:rFonts w:ascii="Times New Roman" w:hAnsi="Times New Roman" w:cs="Times New Roman"/>
          <w:color w:val="000000" w:themeColor="text1"/>
          <w:lang w:val="lv-LV"/>
        </w:rPr>
        <w:t xml:space="preserve">inovāciju </w:t>
      </w:r>
      <w:r w:rsidRPr="007A55A2">
        <w:rPr>
          <w:rFonts w:ascii="Times New Roman" w:hAnsi="Times New Roman" w:cs="Times New Roman"/>
          <w:color w:val="000000" w:themeColor="text1"/>
          <w:lang w:val="lv-LV"/>
        </w:rPr>
        <w:t xml:space="preserve">programmu </w:t>
      </w:r>
      <w:r w:rsidR="001323A4" w:rsidRPr="007A55A2">
        <w:rPr>
          <w:rFonts w:ascii="Times New Roman" w:hAnsi="Times New Roman" w:cs="Times New Roman"/>
          <w:color w:val="000000" w:themeColor="text1"/>
          <w:lang w:val="lv-LV"/>
        </w:rPr>
        <w:t xml:space="preserve">ar ciešu pētniecības un inovāciju darbību sasaisti </w:t>
      </w:r>
      <w:r w:rsidRPr="007A55A2">
        <w:rPr>
          <w:rFonts w:ascii="Times New Roman" w:hAnsi="Times New Roman" w:cs="Times New Roman"/>
          <w:color w:val="000000" w:themeColor="text1"/>
          <w:lang w:val="lv-LV"/>
        </w:rPr>
        <w:t xml:space="preserve">jāatzīmē </w:t>
      </w:r>
      <w:r w:rsidR="0083298A" w:rsidRPr="007A55A2">
        <w:rPr>
          <w:rFonts w:ascii="Times New Roman" w:hAnsi="Times New Roman" w:cs="Times New Roman"/>
          <w:color w:val="000000" w:themeColor="text1"/>
          <w:lang w:val="lv-LV"/>
        </w:rPr>
        <w:t>ilgtermiņa valsts pētījumu programmas "Inovāciju fonds – ilgtermiņa pētījumu programma"</w:t>
      </w:r>
      <w:r w:rsidR="00F87F75" w:rsidRPr="007A55A2">
        <w:rPr>
          <w:rFonts w:ascii="Times New Roman" w:hAnsi="Times New Roman" w:cs="Times New Roman"/>
          <w:color w:val="000000" w:themeColor="text1"/>
          <w:lang w:val="lv-LV"/>
        </w:rPr>
        <w:t xml:space="preserve"> </w:t>
      </w:r>
      <w:r w:rsidR="00C46592" w:rsidRPr="007A55A2">
        <w:rPr>
          <w:rFonts w:ascii="Times New Roman" w:hAnsi="Times New Roman" w:cs="Times New Roman"/>
          <w:color w:val="000000" w:themeColor="text1"/>
          <w:lang w:val="lv-LV"/>
        </w:rPr>
        <w:t>ietvaros (ar to saprotot</w:t>
      </w:r>
      <w:r w:rsidR="0044683F" w:rsidRPr="007A55A2">
        <w:rPr>
          <w:rFonts w:ascii="Times New Roman" w:hAnsi="Times New Roman" w:cs="Times New Roman"/>
          <w:color w:val="000000" w:themeColor="text1"/>
          <w:lang w:val="lv-LV"/>
        </w:rPr>
        <w:t xml:space="preserve"> VPP) </w:t>
      </w:r>
      <w:r w:rsidR="00C46592" w:rsidRPr="007A55A2">
        <w:rPr>
          <w:rFonts w:ascii="Times New Roman" w:hAnsi="Times New Roman" w:cs="Times New Roman"/>
          <w:color w:val="000000" w:themeColor="text1"/>
          <w:lang w:val="lv-LV"/>
        </w:rPr>
        <w:t>izveidot</w:t>
      </w:r>
      <w:r w:rsidR="001603CD" w:rsidRPr="007A55A2">
        <w:rPr>
          <w:rFonts w:ascii="Times New Roman" w:hAnsi="Times New Roman" w:cs="Times New Roman"/>
          <w:color w:val="000000" w:themeColor="text1"/>
          <w:lang w:val="lv-LV"/>
        </w:rPr>
        <w:t>ās</w:t>
      </w:r>
      <w:r w:rsidR="00C46592" w:rsidRPr="007A55A2">
        <w:rPr>
          <w:rFonts w:ascii="Times New Roman" w:hAnsi="Times New Roman" w:cs="Times New Roman"/>
          <w:color w:val="000000" w:themeColor="text1"/>
          <w:lang w:val="lv-LV"/>
        </w:rPr>
        <w:t xml:space="preserve"> platform</w:t>
      </w:r>
      <w:r w:rsidR="0044683F" w:rsidRPr="007A55A2">
        <w:rPr>
          <w:rFonts w:ascii="Times New Roman" w:hAnsi="Times New Roman" w:cs="Times New Roman"/>
          <w:color w:val="000000" w:themeColor="text1"/>
          <w:lang w:val="lv-LV"/>
        </w:rPr>
        <w:t>as</w:t>
      </w:r>
      <w:r w:rsidR="00C46592" w:rsidRPr="007A55A2">
        <w:rPr>
          <w:rFonts w:ascii="Times New Roman" w:hAnsi="Times New Roman" w:cs="Times New Roman"/>
          <w:color w:val="000000" w:themeColor="text1"/>
          <w:lang w:val="lv-LV"/>
        </w:rPr>
        <w:t xml:space="preserve"> </w:t>
      </w:r>
      <w:r w:rsidR="006845E7" w:rsidRPr="007A55A2">
        <w:rPr>
          <w:rFonts w:ascii="Times New Roman" w:hAnsi="Times New Roman" w:cs="Times New Roman"/>
          <w:color w:val="000000" w:themeColor="text1"/>
          <w:lang w:val="lv-LV"/>
        </w:rPr>
        <w:t>(</w:t>
      </w:r>
      <w:r w:rsidR="00B404FF" w:rsidRPr="007A55A2">
        <w:rPr>
          <w:rFonts w:ascii="Times New Roman" w:hAnsi="Times New Roman" w:cs="Times New Roman"/>
          <w:color w:val="000000" w:themeColor="text1"/>
          <w:lang w:val="lv-LV"/>
        </w:rPr>
        <w:t>nolikums</w:t>
      </w:r>
      <w:r w:rsidR="004005EC" w:rsidRPr="007A55A2">
        <w:rPr>
          <w:rStyle w:val="FootnoteReference"/>
          <w:rFonts w:ascii="Times New Roman" w:hAnsi="Times New Roman" w:cs="Times New Roman"/>
          <w:color w:val="000000" w:themeColor="text1"/>
          <w:lang w:val="lv-LV"/>
        </w:rPr>
        <w:footnoteReference w:id="18"/>
      </w:r>
      <w:r w:rsidR="00995F88" w:rsidRPr="007A55A2">
        <w:rPr>
          <w:rFonts w:ascii="Times New Roman" w:hAnsi="Times New Roman" w:cs="Times New Roman"/>
          <w:color w:val="000000" w:themeColor="text1"/>
          <w:lang w:val="lv-LV"/>
        </w:rPr>
        <w:t>)</w:t>
      </w:r>
      <w:r w:rsidR="00B404FF" w:rsidRPr="007A55A2">
        <w:rPr>
          <w:rFonts w:ascii="Times New Roman" w:hAnsi="Times New Roman" w:cs="Times New Roman"/>
          <w:color w:val="000000" w:themeColor="text1"/>
          <w:lang w:val="lv-LV"/>
        </w:rPr>
        <w:t xml:space="preserve"> </w:t>
      </w:r>
      <w:r w:rsidR="00C46592" w:rsidRPr="007A55A2">
        <w:rPr>
          <w:rFonts w:ascii="Times New Roman" w:hAnsi="Times New Roman" w:cs="Times New Roman"/>
          <w:color w:val="000000" w:themeColor="text1"/>
          <w:lang w:val="lv-LV"/>
        </w:rPr>
        <w:t>un platformu projektu</w:t>
      </w:r>
      <w:r w:rsidR="0044683F" w:rsidRPr="007A55A2">
        <w:rPr>
          <w:rFonts w:ascii="Times New Roman" w:hAnsi="Times New Roman" w:cs="Times New Roman"/>
          <w:color w:val="000000" w:themeColor="text1"/>
          <w:lang w:val="lv-LV"/>
        </w:rPr>
        <w:t>s</w:t>
      </w:r>
      <w:r w:rsidR="00C13580" w:rsidRPr="007A55A2">
        <w:rPr>
          <w:rFonts w:ascii="Times New Roman" w:hAnsi="Times New Roman" w:cs="Times New Roman"/>
          <w:color w:val="000000" w:themeColor="text1"/>
          <w:lang w:val="lv-LV"/>
        </w:rPr>
        <w:t xml:space="preserve"> </w:t>
      </w:r>
      <w:r w:rsidR="008231DA" w:rsidRPr="007A55A2">
        <w:rPr>
          <w:rFonts w:ascii="Times New Roman" w:hAnsi="Times New Roman" w:cs="Times New Roman"/>
          <w:color w:val="000000" w:themeColor="text1"/>
          <w:lang w:val="lv-LV"/>
        </w:rPr>
        <w:t>(pirmā pētniecības un inovāciju projektu konkursa nolikums</w:t>
      </w:r>
      <w:r w:rsidR="008231DA" w:rsidRPr="007A55A2">
        <w:rPr>
          <w:rStyle w:val="FootnoteReference"/>
          <w:rFonts w:ascii="Times New Roman" w:hAnsi="Times New Roman" w:cs="Times New Roman"/>
          <w:color w:val="000000" w:themeColor="text1"/>
          <w:lang w:val="lv-LV"/>
        </w:rPr>
        <w:footnoteReference w:id="19"/>
      </w:r>
      <w:r w:rsidR="00DB5BA6" w:rsidRPr="007A55A2">
        <w:rPr>
          <w:rFonts w:ascii="Times New Roman" w:hAnsi="Times New Roman" w:cs="Times New Roman"/>
          <w:color w:val="000000" w:themeColor="text1"/>
          <w:lang w:val="lv-LV"/>
        </w:rPr>
        <w:t>)</w:t>
      </w:r>
      <w:r w:rsidR="0044683F" w:rsidRPr="007A55A2">
        <w:rPr>
          <w:rFonts w:ascii="Times New Roman" w:hAnsi="Times New Roman" w:cs="Times New Roman"/>
          <w:color w:val="000000" w:themeColor="text1"/>
          <w:lang w:val="lv-LV"/>
        </w:rPr>
        <w:t>.</w:t>
      </w:r>
      <w:r w:rsidR="002C0D3A" w:rsidRPr="007A55A2">
        <w:rPr>
          <w:rFonts w:ascii="Times New Roman" w:hAnsi="Times New Roman" w:cs="Times New Roman"/>
          <w:color w:val="000000" w:themeColor="text1"/>
          <w:lang w:val="lv-LV"/>
        </w:rPr>
        <w:t xml:space="preserve"> </w:t>
      </w:r>
      <w:r w:rsidR="00EE786D" w:rsidRPr="007A55A2">
        <w:rPr>
          <w:rFonts w:ascii="Times New Roman" w:hAnsi="Times New Roman" w:cs="Times New Roman"/>
          <w:color w:val="000000" w:themeColor="text1"/>
          <w:lang w:val="lv-LV"/>
        </w:rPr>
        <w:t>MK noteikumu 06.02.2024 (spēkā no 13.02.2024) grozījumi</w:t>
      </w:r>
      <w:r w:rsidR="00EE786D" w:rsidRPr="007A55A2">
        <w:rPr>
          <w:rStyle w:val="FootnoteReference"/>
          <w:rFonts w:ascii="Times New Roman" w:hAnsi="Times New Roman" w:cs="Times New Roman"/>
          <w:color w:val="000000" w:themeColor="text1"/>
          <w:lang w:val="lv-LV"/>
        </w:rPr>
        <w:footnoteReference w:id="20"/>
      </w:r>
      <w:r w:rsidR="00EE786D" w:rsidRPr="007A55A2">
        <w:rPr>
          <w:rFonts w:ascii="Times New Roman" w:hAnsi="Times New Roman" w:cs="Times New Roman"/>
          <w:color w:val="000000" w:themeColor="text1"/>
          <w:lang w:val="lv-LV"/>
        </w:rPr>
        <w:t xml:space="preserve"> nosaka</w:t>
      </w:r>
      <w:r w:rsidR="002F4414" w:rsidRPr="007A55A2">
        <w:rPr>
          <w:rFonts w:ascii="Times New Roman" w:hAnsi="Times New Roman" w:cs="Times New Roman"/>
          <w:color w:val="000000" w:themeColor="text1"/>
          <w:lang w:val="lv-LV"/>
        </w:rPr>
        <w:t>,</w:t>
      </w:r>
      <w:r w:rsidR="00EE786D" w:rsidRPr="007A55A2">
        <w:rPr>
          <w:rFonts w:ascii="Times New Roman" w:hAnsi="Times New Roman" w:cs="Times New Roman"/>
          <w:color w:val="000000" w:themeColor="text1"/>
          <w:lang w:val="lv-LV"/>
        </w:rPr>
        <w:t xml:space="preserve"> </w:t>
      </w:r>
      <w:r w:rsidR="00450417" w:rsidRPr="007A55A2">
        <w:rPr>
          <w:rFonts w:ascii="Times New Roman" w:hAnsi="Times New Roman" w:cs="Times New Roman"/>
          <w:color w:val="000000" w:themeColor="text1"/>
          <w:lang w:val="lv-LV"/>
        </w:rPr>
        <w:t>līdzīgu</w:t>
      </w:r>
      <w:r w:rsidR="000A04FA" w:rsidRPr="007A55A2">
        <w:rPr>
          <w:rFonts w:ascii="Times New Roman" w:hAnsi="Times New Roman" w:cs="Times New Roman"/>
          <w:color w:val="000000" w:themeColor="text1"/>
          <w:lang w:val="lv-LV"/>
        </w:rPr>
        <w:t xml:space="preserve"> kā pārējo VPP gadījumā</w:t>
      </w:r>
      <w:r w:rsidR="002F4414" w:rsidRPr="007A55A2">
        <w:rPr>
          <w:rFonts w:ascii="Times New Roman" w:hAnsi="Times New Roman" w:cs="Times New Roman"/>
          <w:color w:val="000000" w:themeColor="text1"/>
          <w:lang w:val="lv-LV"/>
        </w:rPr>
        <w:t>,</w:t>
      </w:r>
      <w:r w:rsidR="000A04FA" w:rsidRPr="007A55A2">
        <w:rPr>
          <w:rFonts w:ascii="Times New Roman" w:hAnsi="Times New Roman" w:cs="Times New Roman"/>
          <w:color w:val="000000" w:themeColor="text1"/>
          <w:lang w:val="lv-LV"/>
        </w:rPr>
        <w:t xml:space="preserve"> </w:t>
      </w:r>
      <w:r w:rsidR="00EE786D" w:rsidRPr="007A55A2">
        <w:rPr>
          <w:rFonts w:ascii="Times New Roman" w:hAnsi="Times New Roman" w:cs="Times New Roman"/>
          <w:color w:val="000000" w:themeColor="text1"/>
          <w:lang w:val="lv-LV"/>
        </w:rPr>
        <w:t xml:space="preserve">netiešo izmaksu regulējumu </w:t>
      </w:r>
      <w:r w:rsidR="000A04FA" w:rsidRPr="007A55A2">
        <w:rPr>
          <w:rFonts w:ascii="Times New Roman" w:hAnsi="Times New Roman" w:cs="Times New Roman"/>
          <w:color w:val="000000" w:themeColor="text1"/>
          <w:lang w:val="lv-LV"/>
        </w:rPr>
        <w:t xml:space="preserve">arī </w:t>
      </w:r>
      <w:r w:rsidR="00EE786D" w:rsidRPr="007A55A2">
        <w:rPr>
          <w:rFonts w:ascii="Times New Roman" w:hAnsi="Times New Roman" w:cs="Times New Roman"/>
          <w:color w:val="000000" w:themeColor="text1"/>
          <w:lang w:val="lv-LV"/>
        </w:rPr>
        <w:t xml:space="preserve">attiecībā uz </w:t>
      </w:r>
      <w:r w:rsidR="00FD38D3" w:rsidRPr="007A55A2">
        <w:rPr>
          <w:rFonts w:ascii="Times New Roman" w:hAnsi="Times New Roman" w:cs="Times New Roman"/>
          <w:color w:val="000000" w:themeColor="text1"/>
          <w:lang w:val="lv-LV"/>
        </w:rPr>
        <w:t xml:space="preserve">ilgtermiņa </w:t>
      </w:r>
      <w:r w:rsidR="00EE786D" w:rsidRPr="007A55A2">
        <w:rPr>
          <w:rFonts w:ascii="Times New Roman" w:hAnsi="Times New Roman" w:cs="Times New Roman"/>
          <w:color w:val="000000" w:themeColor="text1"/>
          <w:lang w:val="lv-LV"/>
        </w:rPr>
        <w:t>VPP platformām un platformu projektiem (69</w:t>
      </w:r>
      <w:r w:rsidR="00EE786D" w:rsidRPr="007A55A2">
        <w:rPr>
          <w:rFonts w:ascii="Times New Roman" w:hAnsi="Times New Roman" w:cs="Times New Roman"/>
          <w:color w:val="000000" w:themeColor="text1"/>
          <w:vertAlign w:val="superscript"/>
          <w:lang w:val="lv-LV"/>
        </w:rPr>
        <w:t>11</w:t>
      </w:r>
      <w:r w:rsidR="00EE786D" w:rsidRPr="007A55A2">
        <w:rPr>
          <w:rFonts w:ascii="Times New Roman" w:hAnsi="Times New Roman" w:cs="Times New Roman"/>
          <w:color w:val="000000" w:themeColor="text1"/>
          <w:lang w:val="lv-LV"/>
        </w:rPr>
        <w:t>.2. punkts)</w:t>
      </w:r>
      <w:r w:rsidR="00292A45" w:rsidRPr="007A55A2">
        <w:rPr>
          <w:rFonts w:ascii="Times New Roman" w:hAnsi="Times New Roman" w:cs="Times New Roman"/>
          <w:color w:val="000000" w:themeColor="text1"/>
          <w:lang w:val="lv-LV"/>
        </w:rPr>
        <w:t>:</w:t>
      </w:r>
    </w:p>
    <w:p w14:paraId="4909EE9D" w14:textId="209B7556" w:rsidR="00292A45" w:rsidRPr="007A55A2" w:rsidRDefault="002D1D3F" w:rsidP="00640A53">
      <w:pPr>
        <w:ind w:left="709" w:right="-6"/>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w:t>
      </w:r>
      <w:r w:rsidR="00E97819" w:rsidRPr="007A55A2">
        <w:rPr>
          <w:rFonts w:ascii="Times New Roman" w:hAnsi="Times New Roman" w:cs="Times New Roman"/>
          <w:color w:val="000000" w:themeColor="text1"/>
          <w:lang w:val="lv-LV"/>
        </w:rPr>
        <w:t xml:space="preserve"> </w:t>
      </w:r>
      <w:r w:rsidR="006C79DE" w:rsidRPr="007A55A2">
        <w:rPr>
          <w:rFonts w:ascii="Times New Roman" w:hAnsi="Times New Roman" w:cs="Times New Roman"/>
          <w:color w:val="000000" w:themeColor="text1"/>
          <w:lang w:val="lv-LV"/>
        </w:rPr>
        <w:t xml:space="preserve">Netiešās attiecināmās izmaksas nosaka attiecīgo platformu un platformu projektu pieteikumu konkursu nolikumos atbilstoši attiecīgās nozares ministrijas veiktajam </w:t>
      </w:r>
      <w:r w:rsidR="006C79DE" w:rsidRPr="007A55A2">
        <w:rPr>
          <w:rFonts w:ascii="Times New Roman" w:hAnsi="Times New Roman" w:cs="Times New Roman"/>
          <w:color w:val="000000" w:themeColor="text1"/>
          <w:lang w:val="lv-LV"/>
        </w:rPr>
        <w:lastRenderedPageBreak/>
        <w:t>novērtējumam par ilgtermiņa programmas īstenošanas izmaksām, plānojot kā vienu izmaksu pozīciju ar vienotu likmi līdz 25 procentu apmēram no šo noteikumu 69.</w:t>
      </w:r>
      <w:r w:rsidR="006C79DE" w:rsidRPr="007A55A2">
        <w:rPr>
          <w:rFonts w:ascii="Times New Roman" w:hAnsi="Times New Roman" w:cs="Times New Roman"/>
          <w:color w:val="000000" w:themeColor="text1"/>
          <w:vertAlign w:val="superscript"/>
          <w:lang w:val="lv-LV"/>
        </w:rPr>
        <w:t>11</w:t>
      </w:r>
      <w:r w:rsidR="006C79DE" w:rsidRPr="007A55A2">
        <w:rPr>
          <w:rFonts w:ascii="Times New Roman" w:hAnsi="Times New Roman" w:cs="Times New Roman"/>
          <w:color w:val="000000" w:themeColor="text1"/>
          <w:lang w:val="lv-LV"/>
        </w:rPr>
        <w:t>1. apakšpunktā minēto tiešo attiecināmo izmaksu kopsummas, izņemot šo noteikumu 14.1.6. apakšpunktā minētās tiešās attiecināmās izmaksas, kas radušās saistībā ar ārējo pakalpojumu izmaksām (tai skaitā darbu saskaņā ar uzņēmuma līgumiem)</w:t>
      </w:r>
      <w:r w:rsidR="00C22919" w:rsidRPr="007A55A2">
        <w:rPr>
          <w:rFonts w:ascii="Times New Roman" w:hAnsi="Times New Roman" w:cs="Times New Roman"/>
          <w:color w:val="000000" w:themeColor="text1"/>
          <w:lang w:val="lv-LV"/>
        </w:rPr>
        <w:t>….”</w:t>
      </w:r>
      <w:r w:rsidR="00640A53" w:rsidRPr="007A55A2">
        <w:rPr>
          <w:rFonts w:ascii="Times New Roman" w:hAnsi="Times New Roman" w:cs="Times New Roman"/>
          <w:color w:val="000000" w:themeColor="text1"/>
          <w:lang w:val="lv-LV"/>
        </w:rPr>
        <w:t xml:space="preserve"> </w:t>
      </w:r>
    </w:p>
    <w:p w14:paraId="5F7BDFDD" w14:textId="535C3F5F" w:rsidR="00797C84" w:rsidRPr="007A55A2" w:rsidRDefault="00191463" w:rsidP="006546CB">
      <w:pPr>
        <w:ind w:right="-6"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 </w:t>
      </w:r>
      <w:r w:rsidR="00505847" w:rsidRPr="007A55A2">
        <w:rPr>
          <w:rFonts w:ascii="Times New Roman" w:hAnsi="Times New Roman" w:cs="Times New Roman"/>
          <w:color w:val="000000" w:themeColor="text1"/>
          <w:lang w:val="lv-LV"/>
        </w:rPr>
        <w:t>I</w:t>
      </w:r>
      <w:r w:rsidRPr="007A55A2">
        <w:rPr>
          <w:rFonts w:ascii="Times New Roman" w:hAnsi="Times New Roman" w:cs="Times New Roman"/>
          <w:color w:val="000000" w:themeColor="text1"/>
          <w:lang w:val="lv-LV"/>
        </w:rPr>
        <w:t xml:space="preserve">lgtermiņa </w:t>
      </w:r>
      <w:r w:rsidR="006212C5" w:rsidRPr="007A55A2">
        <w:rPr>
          <w:rFonts w:ascii="Times New Roman" w:hAnsi="Times New Roman" w:cs="Times New Roman"/>
          <w:color w:val="000000" w:themeColor="text1"/>
          <w:lang w:val="lv-LV"/>
        </w:rPr>
        <w:t>VPP</w:t>
      </w:r>
      <w:r w:rsidRPr="007A55A2">
        <w:rPr>
          <w:rFonts w:ascii="Times New Roman" w:hAnsi="Times New Roman" w:cs="Times New Roman"/>
          <w:color w:val="000000" w:themeColor="text1"/>
          <w:lang w:val="lv-LV"/>
        </w:rPr>
        <w:t xml:space="preserve"> "Inovāciju fonds – ilgtermiņa pētījumu programma"</w:t>
      </w:r>
      <w:r w:rsidR="003B71C5" w:rsidRPr="007A55A2">
        <w:rPr>
          <w:rFonts w:ascii="Times New Roman" w:hAnsi="Times New Roman" w:cs="Times New Roman"/>
          <w:color w:val="000000" w:themeColor="text1"/>
          <w:lang w:val="lv-LV"/>
        </w:rPr>
        <w:t xml:space="preserve"> (</w:t>
      </w:r>
      <w:r w:rsidRPr="007A55A2">
        <w:rPr>
          <w:rFonts w:ascii="Times New Roman" w:hAnsi="Times New Roman" w:cs="Times New Roman"/>
          <w:color w:val="000000" w:themeColor="text1"/>
          <w:lang w:val="lv-LV"/>
        </w:rPr>
        <w:t>MK rīkojum</w:t>
      </w:r>
      <w:r w:rsidR="003B71C5" w:rsidRPr="007A55A2">
        <w:rPr>
          <w:rFonts w:ascii="Times New Roman" w:hAnsi="Times New Roman" w:cs="Times New Roman"/>
          <w:color w:val="000000" w:themeColor="text1"/>
          <w:lang w:val="lv-LV"/>
        </w:rPr>
        <w:t>s</w:t>
      </w:r>
      <w:r w:rsidRPr="007A55A2">
        <w:rPr>
          <w:rFonts w:ascii="Times New Roman" w:hAnsi="Times New Roman" w:cs="Times New Roman"/>
          <w:color w:val="000000" w:themeColor="text1"/>
          <w:lang w:val="lv-LV"/>
        </w:rPr>
        <w:t xml:space="preserve"> Nr. 474</w:t>
      </w:r>
      <w:r w:rsidRPr="007A55A2">
        <w:rPr>
          <w:rStyle w:val="FootnoteReference"/>
          <w:rFonts w:ascii="Times New Roman" w:hAnsi="Times New Roman" w:cs="Times New Roman"/>
          <w:color w:val="000000" w:themeColor="text1"/>
          <w:lang w:val="lv-LV"/>
        </w:rPr>
        <w:footnoteReference w:id="21"/>
      </w:r>
      <w:r w:rsidR="003B71C5" w:rsidRPr="007A55A2">
        <w:rPr>
          <w:rFonts w:ascii="Times New Roman" w:hAnsi="Times New Roman" w:cs="Times New Roman"/>
          <w:color w:val="000000" w:themeColor="text1"/>
          <w:lang w:val="lv-LV"/>
        </w:rPr>
        <w:t>)</w:t>
      </w:r>
      <w:r w:rsidRPr="007A55A2">
        <w:rPr>
          <w:rFonts w:ascii="Times New Roman" w:hAnsi="Times New Roman" w:cs="Times New Roman"/>
          <w:color w:val="000000" w:themeColor="text1"/>
          <w:lang w:val="lv-LV"/>
        </w:rPr>
        <w:t xml:space="preserve"> virsmērķis – jaunu zināšanu, kā arī produktu un tehnoloģiju risinājumu attīstība ilgtermiņā divās viedās specializācijas stratēģijas jomās "Biomedicīna, medicīnas tehnoloģijas un farmācija" un "Fotonika un viedie materiāli, tehnoloģijas un inženiersistēmas" (4. punkts), bet mērķis – attīstīt akadēmiskās pētniecības un lietišķās zinātnes kompetences inovatīvu un komercializējamu produktu un tehnoloģiju izstrādei ciešā sadarbībā ar Latvijas biomedicīnas, medicīnas tehnoloģiju, farmācijas, fotonikas, viedo materiālu, elektronikas, elektrotehnikas, tehnoloģiju un inženiersistēmu nozarēm (5. punkts). Arī programmas uzdevumi abās viedās specializācijas stratēģijas </w:t>
      </w:r>
      <w:r w:rsidR="00863FAF" w:rsidRPr="007A55A2">
        <w:rPr>
          <w:rFonts w:ascii="Times New Roman" w:hAnsi="Times New Roman" w:cs="Times New Roman"/>
          <w:color w:val="000000" w:themeColor="text1"/>
          <w:lang w:val="lv-LV"/>
        </w:rPr>
        <w:t xml:space="preserve">jomās </w:t>
      </w:r>
      <w:r w:rsidRPr="007A55A2">
        <w:rPr>
          <w:rFonts w:ascii="Times New Roman" w:hAnsi="Times New Roman" w:cs="Times New Roman"/>
          <w:color w:val="000000" w:themeColor="text1"/>
          <w:lang w:val="lv-LV"/>
        </w:rPr>
        <w:t>ir vairāk raksturoti kā pētnieciski: terapijas pieejamības uzlabošana dzīvildzes un darbspējas pieaugumam, attīstot zāļu, to transportformu un vakcīnu ražošanas tehnoloģijas, īstenojot zāļvielu pārprofilēšanu, jaunu zāļu atklāšanu un attīstības pētījumus, kā arī identificējot jaunus biomarķierus un attīstot precīzijas medicīnas risinājumus; optikas, fotonikas, mikroelektronikas, mikrofluīdikas ierīču, viedo materiālu, datu pārraides un sakaru tehnoloģiju, sensoru un inženiersistēmu, robotikas un nākotnes lietu interneta risinājumu attīstīšana (6. punkts)</w:t>
      </w:r>
      <w:r w:rsidR="006A22A9" w:rsidRPr="007A55A2">
        <w:rPr>
          <w:rFonts w:ascii="Times New Roman" w:hAnsi="Times New Roman" w:cs="Times New Roman"/>
          <w:color w:val="000000" w:themeColor="text1"/>
          <w:lang w:val="lv-LV"/>
        </w:rPr>
        <w:t>.</w:t>
      </w:r>
    </w:p>
    <w:p w14:paraId="195C0873" w14:textId="2A514C44" w:rsidR="008F0780" w:rsidRPr="007A55A2" w:rsidRDefault="00797C84" w:rsidP="00797C84">
      <w:pPr>
        <w:ind w:right="-6"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Tādejādi var secināt, ka ilgtermiņa VPP ietvaros izveidotās platformas un platformu projekti pēc paredzamo darbību rakstura ir tuvāki programmām, kurās paredzēta cieša pētniecisko un inovāciju izstrādes darbību sasaiste, nevis ar programmām, kurās akcents ir inovāciju tālāka virzība komercializācijas virzienā.</w:t>
      </w:r>
    </w:p>
    <w:p w14:paraId="773EDA60" w14:textId="58627B1C" w:rsidR="007F2682" w:rsidRPr="007A55A2" w:rsidRDefault="007F2682" w:rsidP="006546CB">
      <w:pPr>
        <w:ind w:right="-6"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Līdzās iepriekš apskatītajām programmām, kurās ir sasaistītas pētniecības un inovāciju darbības, tiek īstenotas arī </w:t>
      </w:r>
      <w:r w:rsidRPr="007A55A2">
        <w:rPr>
          <w:rFonts w:ascii="Times New Roman" w:hAnsi="Times New Roman" w:cs="Times New Roman"/>
          <w:color w:val="000000" w:themeColor="text1"/>
          <w:u w:val="single"/>
          <w:lang w:val="lv-LV"/>
        </w:rPr>
        <w:t>programmas, kurās ir uzsvērts atbalsts tieši inovācijām, to izstrādei, atbalstam un veicināšanai</w:t>
      </w:r>
      <w:r w:rsidRPr="007A55A2">
        <w:rPr>
          <w:rFonts w:ascii="Times New Roman" w:hAnsi="Times New Roman" w:cs="Times New Roman"/>
          <w:color w:val="000000" w:themeColor="text1"/>
          <w:lang w:val="lv-LV"/>
        </w:rPr>
        <w:t>.</w:t>
      </w:r>
    </w:p>
    <w:p w14:paraId="2F3B1D05" w14:textId="71738193" w:rsidR="00DD0ABC" w:rsidRPr="007A55A2" w:rsidRDefault="006546CB" w:rsidP="006546CB">
      <w:pPr>
        <w:ind w:right="-6"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Eiropas Savienības fondu 2014.-2020. gada plānošanas period</w:t>
      </w:r>
      <w:r w:rsidR="00B2023E" w:rsidRPr="007A55A2">
        <w:rPr>
          <w:rFonts w:ascii="Times New Roman" w:hAnsi="Times New Roman" w:cs="Times New Roman"/>
          <w:color w:val="000000" w:themeColor="text1"/>
          <w:lang w:val="lv-LV"/>
        </w:rPr>
        <w:t>ā no Eiropas Savienības struktūrfondu līdzfinansēta</w:t>
      </w:r>
      <w:r w:rsidR="00B06A4B" w:rsidRPr="007A55A2">
        <w:rPr>
          <w:rFonts w:ascii="Times New Roman" w:hAnsi="Times New Roman" w:cs="Times New Roman"/>
          <w:color w:val="000000" w:themeColor="text1"/>
          <w:lang w:val="lv-LV"/>
        </w:rPr>
        <w:t xml:space="preserve"> </w:t>
      </w:r>
      <w:r w:rsidR="00B2023E" w:rsidRPr="007A55A2">
        <w:rPr>
          <w:rFonts w:ascii="Times New Roman" w:hAnsi="Times New Roman" w:cs="Times New Roman"/>
          <w:color w:val="000000" w:themeColor="text1"/>
          <w:lang w:val="lv-LV"/>
        </w:rPr>
        <w:t>programma</w:t>
      </w:r>
      <w:r w:rsidR="007A21BF" w:rsidRPr="007A55A2">
        <w:rPr>
          <w:rFonts w:ascii="Times New Roman" w:hAnsi="Times New Roman" w:cs="Times New Roman"/>
          <w:color w:val="000000" w:themeColor="text1"/>
          <w:lang w:val="lv-LV"/>
        </w:rPr>
        <w:t xml:space="preserve"> “Atbalsts tehnoloģiju pārneses sistēmas pilnveidošanai”</w:t>
      </w:r>
      <w:r w:rsidR="00BD397C" w:rsidRPr="007A55A2">
        <w:rPr>
          <w:rFonts w:ascii="Times New Roman" w:hAnsi="Times New Roman" w:cs="Times New Roman"/>
          <w:color w:val="000000" w:themeColor="text1"/>
          <w:lang w:val="lv-LV"/>
        </w:rPr>
        <w:t xml:space="preserve">, kuras darbību regulē MK noteikumi Nr. </w:t>
      </w:r>
      <w:r w:rsidR="009926D2" w:rsidRPr="007A55A2">
        <w:rPr>
          <w:rFonts w:ascii="Times New Roman" w:hAnsi="Times New Roman" w:cs="Times New Roman"/>
          <w:color w:val="000000" w:themeColor="text1"/>
          <w:lang w:val="lv-LV"/>
        </w:rPr>
        <w:t>692</w:t>
      </w:r>
      <w:r w:rsidR="00A63B7A" w:rsidRPr="007A55A2">
        <w:rPr>
          <w:rStyle w:val="FootnoteReference"/>
          <w:rFonts w:ascii="Times New Roman" w:hAnsi="Times New Roman" w:cs="Times New Roman"/>
          <w:color w:val="000000" w:themeColor="text1"/>
          <w:lang w:val="lv-LV"/>
        </w:rPr>
        <w:footnoteReference w:id="22"/>
      </w:r>
      <w:r w:rsidR="009926D2" w:rsidRPr="007A55A2">
        <w:rPr>
          <w:rFonts w:ascii="Times New Roman" w:hAnsi="Times New Roman" w:cs="Times New Roman"/>
          <w:color w:val="000000" w:themeColor="text1"/>
          <w:lang w:val="lv-LV"/>
        </w:rPr>
        <w:t>.</w:t>
      </w:r>
      <w:r w:rsidR="00DA339D" w:rsidRPr="007A55A2">
        <w:rPr>
          <w:rFonts w:ascii="Times New Roman" w:hAnsi="Times New Roman" w:cs="Times New Roman"/>
          <w:color w:val="000000" w:themeColor="text1"/>
          <w:lang w:val="lv-LV"/>
        </w:rPr>
        <w:t xml:space="preserve"> Regulējuma 22.</w:t>
      </w:r>
      <w:r w:rsidR="00DD0ABC" w:rsidRPr="007A55A2">
        <w:rPr>
          <w:rFonts w:ascii="Times New Roman" w:hAnsi="Times New Roman" w:cs="Times New Roman"/>
          <w:color w:val="000000" w:themeColor="text1"/>
          <w:lang w:val="lv-LV"/>
        </w:rPr>
        <w:t xml:space="preserve">, </w:t>
      </w:r>
      <w:r w:rsidR="00B2330C" w:rsidRPr="007A55A2">
        <w:rPr>
          <w:rFonts w:ascii="Times New Roman" w:hAnsi="Times New Roman" w:cs="Times New Roman"/>
          <w:color w:val="000000" w:themeColor="text1"/>
          <w:lang w:val="lv-LV"/>
        </w:rPr>
        <w:t xml:space="preserve">34.5., 36.13. un 38.4. </w:t>
      </w:r>
      <w:r w:rsidR="00E87A1A" w:rsidRPr="007A55A2">
        <w:rPr>
          <w:rFonts w:ascii="Times New Roman" w:hAnsi="Times New Roman" w:cs="Times New Roman"/>
          <w:color w:val="000000" w:themeColor="text1"/>
          <w:lang w:val="lv-LV"/>
        </w:rPr>
        <w:t>punkti paredz</w:t>
      </w:r>
      <w:r w:rsidR="00687F57" w:rsidRPr="007A55A2">
        <w:rPr>
          <w:rFonts w:ascii="Times New Roman" w:hAnsi="Times New Roman" w:cs="Times New Roman"/>
          <w:color w:val="000000" w:themeColor="text1"/>
          <w:lang w:val="lv-LV"/>
        </w:rPr>
        <w:t xml:space="preserve"> kā attiecināmas projekta netiešās izmaksas saskaņā ar vienoto </w:t>
      </w:r>
      <w:r w:rsidR="009623D8" w:rsidRPr="007A55A2">
        <w:rPr>
          <w:rFonts w:ascii="Times New Roman" w:hAnsi="Times New Roman" w:cs="Times New Roman"/>
          <w:color w:val="000000" w:themeColor="text1"/>
          <w:lang w:val="lv-LV"/>
        </w:rPr>
        <w:t xml:space="preserve">netiešo </w:t>
      </w:r>
      <w:r w:rsidR="00687F57" w:rsidRPr="007A55A2">
        <w:rPr>
          <w:rFonts w:ascii="Times New Roman" w:hAnsi="Times New Roman" w:cs="Times New Roman"/>
          <w:color w:val="000000" w:themeColor="text1"/>
          <w:lang w:val="lv-LV"/>
        </w:rPr>
        <w:t>izmaksu likmi 15 % apmērā no šo noteikumu</w:t>
      </w:r>
      <w:r w:rsidR="00F345F1" w:rsidRPr="007A55A2">
        <w:rPr>
          <w:rFonts w:ascii="Times New Roman" w:hAnsi="Times New Roman" w:cs="Times New Roman"/>
          <w:color w:val="000000" w:themeColor="text1"/>
          <w:lang w:val="lv-LV"/>
        </w:rPr>
        <w:t xml:space="preserve"> cit</w:t>
      </w:r>
      <w:r w:rsidR="005D6411" w:rsidRPr="007A55A2">
        <w:rPr>
          <w:rFonts w:ascii="Times New Roman" w:hAnsi="Times New Roman" w:cs="Times New Roman"/>
          <w:color w:val="000000" w:themeColor="text1"/>
          <w:lang w:val="lv-LV"/>
        </w:rPr>
        <w:t>os punktos definētām attie</w:t>
      </w:r>
      <w:r w:rsidR="007A7EDD" w:rsidRPr="007A55A2">
        <w:rPr>
          <w:rFonts w:ascii="Times New Roman" w:hAnsi="Times New Roman" w:cs="Times New Roman"/>
          <w:color w:val="000000" w:themeColor="text1"/>
          <w:lang w:val="lv-LV"/>
        </w:rPr>
        <w:t>cinā</w:t>
      </w:r>
      <w:r w:rsidR="001C47F5" w:rsidRPr="007A55A2">
        <w:rPr>
          <w:rFonts w:ascii="Times New Roman" w:hAnsi="Times New Roman" w:cs="Times New Roman"/>
          <w:color w:val="000000" w:themeColor="text1"/>
          <w:lang w:val="lv-LV"/>
        </w:rPr>
        <w:t>mā</w:t>
      </w:r>
      <w:r w:rsidR="007A7EDD" w:rsidRPr="007A55A2">
        <w:rPr>
          <w:rFonts w:ascii="Times New Roman" w:hAnsi="Times New Roman" w:cs="Times New Roman"/>
          <w:color w:val="000000" w:themeColor="text1"/>
          <w:lang w:val="lv-LV"/>
        </w:rPr>
        <w:t xml:space="preserve">m personāla </w:t>
      </w:r>
      <w:r w:rsidR="00B42215" w:rsidRPr="007A55A2">
        <w:rPr>
          <w:rFonts w:ascii="Times New Roman" w:hAnsi="Times New Roman" w:cs="Times New Roman"/>
          <w:color w:val="000000" w:themeColor="text1"/>
          <w:lang w:val="lv-LV"/>
        </w:rPr>
        <w:t>vai vadības iz</w:t>
      </w:r>
      <w:r w:rsidR="007A7EDD" w:rsidRPr="007A55A2">
        <w:rPr>
          <w:rFonts w:ascii="Times New Roman" w:hAnsi="Times New Roman" w:cs="Times New Roman"/>
          <w:color w:val="000000" w:themeColor="text1"/>
          <w:lang w:val="lv-LV"/>
        </w:rPr>
        <w:t>maksām</w:t>
      </w:r>
      <w:r w:rsidR="006F5908" w:rsidRPr="007A55A2">
        <w:rPr>
          <w:rFonts w:ascii="Times New Roman" w:hAnsi="Times New Roman" w:cs="Times New Roman"/>
          <w:color w:val="000000" w:themeColor="text1"/>
          <w:lang w:val="lv-LV"/>
        </w:rPr>
        <w:t>, ar pēdējām saprotot projekta vadības personāla atlīdzību</w:t>
      </w:r>
      <w:r w:rsidR="00DE3E91" w:rsidRPr="007A55A2">
        <w:rPr>
          <w:rFonts w:ascii="Times New Roman" w:hAnsi="Times New Roman" w:cs="Times New Roman"/>
          <w:color w:val="000000" w:themeColor="text1"/>
          <w:lang w:val="lv-LV"/>
        </w:rPr>
        <w:t>.</w:t>
      </w:r>
      <w:r w:rsidR="009623D8" w:rsidRPr="007A55A2">
        <w:rPr>
          <w:rFonts w:ascii="Times New Roman" w:hAnsi="Times New Roman" w:cs="Times New Roman"/>
          <w:color w:val="000000" w:themeColor="text1"/>
          <w:lang w:val="lv-LV"/>
        </w:rPr>
        <w:t xml:space="preserve"> Arī pašreizējā </w:t>
      </w:r>
      <w:r w:rsidR="00AC78EB" w:rsidRPr="007A55A2">
        <w:rPr>
          <w:rFonts w:ascii="Times New Roman" w:hAnsi="Times New Roman" w:cs="Times New Roman"/>
          <w:color w:val="000000" w:themeColor="text1"/>
          <w:lang w:val="lv-LV"/>
        </w:rPr>
        <w:t>Eiropas Savienības fondu 2021.–2027. gada plānošanas period</w:t>
      </w:r>
      <w:r w:rsidR="00454D7C" w:rsidRPr="007A55A2">
        <w:rPr>
          <w:rFonts w:ascii="Times New Roman" w:hAnsi="Times New Roman" w:cs="Times New Roman"/>
          <w:color w:val="000000" w:themeColor="text1"/>
          <w:lang w:val="lv-LV"/>
        </w:rPr>
        <w:t>ā</w:t>
      </w:r>
      <w:r w:rsidR="00C97139" w:rsidRPr="007A55A2">
        <w:rPr>
          <w:rFonts w:ascii="Times New Roman" w:hAnsi="Times New Roman" w:cs="Times New Roman"/>
          <w:color w:val="000000" w:themeColor="text1"/>
          <w:lang w:val="lv-LV"/>
        </w:rPr>
        <w:t xml:space="preserve"> tiek </w:t>
      </w:r>
      <w:r w:rsidR="00B37142" w:rsidRPr="007A55A2">
        <w:rPr>
          <w:rFonts w:ascii="Times New Roman" w:hAnsi="Times New Roman" w:cs="Times New Roman"/>
          <w:color w:val="000000" w:themeColor="text1"/>
          <w:lang w:val="lv-LV"/>
        </w:rPr>
        <w:t>īstenota</w:t>
      </w:r>
      <w:r w:rsidR="00C97139" w:rsidRPr="007A55A2">
        <w:rPr>
          <w:rFonts w:ascii="Times New Roman" w:hAnsi="Times New Roman" w:cs="Times New Roman"/>
          <w:color w:val="000000" w:themeColor="text1"/>
          <w:lang w:val="lv-LV"/>
        </w:rPr>
        <w:t xml:space="preserve"> l</w:t>
      </w:r>
      <w:r w:rsidR="006C4B49" w:rsidRPr="007A55A2">
        <w:rPr>
          <w:rFonts w:ascii="Times New Roman" w:hAnsi="Times New Roman" w:cs="Times New Roman"/>
          <w:color w:val="000000" w:themeColor="text1"/>
          <w:lang w:val="lv-LV"/>
        </w:rPr>
        <w:t xml:space="preserve">īdzīga programma, kuras darbību regulē </w:t>
      </w:r>
      <w:r w:rsidR="005A5EEB" w:rsidRPr="007A55A2">
        <w:rPr>
          <w:rFonts w:ascii="Times New Roman" w:hAnsi="Times New Roman" w:cs="Times New Roman"/>
          <w:color w:val="000000" w:themeColor="text1"/>
          <w:lang w:val="lv-LV"/>
        </w:rPr>
        <w:t>MK noteikumi Nr.644</w:t>
      </w:r>
      <w:r w:rsidR="005A5EEB" w:rsidRPr="007A55A2">
        <w:rPr>
          <w:rStyle w:val="FootnoteReference"/>
          <w:rFonts w:ascii="Times New Roman" w:hAnsi="Times New Roman" w:cs="Times New Roman"/>
          <w:color w:val="000000" w:themeColor="text1"/>
          <w:lang w:val="lv-LV"/>
        </w:rPr>
        <w:footnoteReference w:id="23"/>
      </w:r>
      <w:r w:rsidR="005A5EEB" w:rsidRPr="007A55A2">
        <w:rPr>
          <w:rFonts w:ascii="Times New Roman" w:hAnsi="Times New Roman" w:cs="Times New Roman"/>
          <w:color w:val="000000" w:themeColor="text1"/>
          <w:lang w:val="lv-LV"/>
        </w:rPr>
        <w:t>.</w:t>
      </w:r>
      <w:r w:rsidR="00B37142" w:rsidRPr="007A55A2">
        <w:rPr>
          <w:rFonts w:ascii="Times New Roman" w:hAnsi="Times New Roman" w:cs="Times New Roman"/>
          <w:color w:val="000000" w:themeColor="text1"/>
          <w:lang w:val="lv-LV"/>
        </w:rPr>
        <w:t xml:space="preserve"> </w:t>
      </w:r>
      <w:r w:rsidR="009E5F5D" w:rsidRPr="007A55A2">
        <w:rPr>
          <w:rFonts w:ascii="Times New Roman" w:hAnsi="Times New Roman" w:cs="Times New Roman"/>
          <w:color w:val="000000" w:themeColor="text1"/>
          <w:lang w:val="lv-LV"/>
        </w:rPr>
        <w:t>Arī šī regulējuma</w:t>
      </w:r>
      <w:r w:rsidR="001D4C6E" w:rsidRPr="007A55A2">
        <w:rPr>
          <w:rFonts w:ascii="Times New Roman" w:hAnsi="Times New Roman" w:cs="Times New Roman"/>
          <w:color w:val="000000" w:themeColor="text1"/>
          <w:lang w:val="lv-LV"/>
        </w:rPr>
        <w:t xml:space="preserve"> </w:t>
      </w:r>
      <w:r w:rsidR="004A6344" w:rsidRPr="007A55A2">
        <w:rPr>
          <w:rFonts w:ascii="Times New Roman" w:hAnsi="Times New Roman" w:cs="Times New Roman"/>
          <w:color w:val="000000" w:themeColor="text1"/>
          <w:lang w:val="lv-LV"/>
        </w:rPr>
        <w:t>23. un 61.</w:t>
      </w:r>
      <w:r w:rsidR="004A6344" w:rsidRPr="007A55A2">
        <w:rPr>
          <w:rFonts w:ascii="Times New Roman" w:hAnsi="Times New Roman" w:cs="Times New Roman"/>
          <w:color w:val="000000" w:themeColor="text1"/>
          <w:vertAlign w:val="superscript"/>
          <w:lang w:val="lv-LV"/>
        </w:rPr>
        <w:t>14</w:t>
      </w:r>
      <w:r w:rsidR="004A6344" w:rsidRPr="007A55A2">
        <w:rPr>
          <w:rFonts w:ascii="Times New Roman" w:hAnsi="Times New Roman" w:cs="Times New Roman"/>
          <w:color w:val="000000" w:themeColor="text1"/>
          <w:lang w:val="lv-LV"/>
        </w:rPr>
        <w:t>5.</w:t>
      </w:r>
      <w:r w:rsidR="000F7B0C" w:rsidRPr="007A55A2">
        <w:rPr>
          <w:rFonts w:ascii="Times New Roman" w:hAnsi="Times New Roman" w:cs="Times New Roman"/>
          <w:color w:val="000000" w:themeColor="text1"/>
          <w:lang w:val="lv-LV"/>
        </w:rPr>
        <w:t xml:space="preserve"> </w:t>
      </w:r>
      <w:r w:rsidR="000F7B0C" w:rsidRPr="007A55A2">
        <w:rPr>
          <w:rFonts w:ascii="Times New Roman" w:hAnsi="Times New Roman" w:cs="Times New Roman"/>
          <w:color w:val="000000" w:themeColor="text1"/>
          <w:lang w:val="lv-LV"/>
        </w:rPr>
        <w:lastRenderedPageBreak/>
        <w:t xml:space="preserve">punkti paredz </w:t>
      </w:r>
      <w:r w:rsidR="0001723D" w:rsidRPr="007A55A2">
        <w:rPr>
          <w:rFonts w:ascii="Times New Roman" w:hAnsi="Times New Roman" w:cs="Times New Roman"/>
          <w:color w:val="000000" w:themeColor="text1"/>
          <w:lang w:val="lv-LV"/>
        </w:rPr>
        <w:t xml:space="preserve">vienoto </w:t>
      </w:r>
      <w:r w:rsidR="009623D8" w:rsidRPr="007A55A2">
        <w:rPr>
          <w:rFonts w:ascii="Times New Roman" w:hAnsi="Times New Roman" w:cs="Times New Roman"/>
          <w:color w:val="000000" w:themeColor="text1"/>
          <w:lang w:val="lv-LV"/>
        </w:rPr>
        <w:t xml:space="preserve">netiešo </w:t>
      </w:r>
      <w:r w:rsidR="0001723D" w:rsidRPr="007A55A2">
        <w:rPr>
          <w:rFonts w:ascii="Times New Roman" w:hAnsi="Times New Roman" w:cs="Times New Roman"/>
          <w:color w:val="000000" w:themeColor="text1"/>
          <w:lang w:val="lv-LV"/>
        </w:rPr>
        <w:t xml:space="preserve">izmaksu likmi 15 % apmērā no šo noteikumu citos punktos </w:t>
      </w:r>
      <w:r w:rsidR="009623D8" w:rsidRPr="007A55A2">
        <w:rPr>
          <w:rFonts w:ascii="Times New Roman" w:hAnsi="Times New Roman" w:cs="Times New Roman"/>
          <w:color w:val="000000" w:themeColor="text1"/>
          <w:lang w:val="lv-LV"/>
        </w:rPr>
        <w:t xml:space="preserve">noteiktām </w:t>
      </w:r>
      <w:r w:rsidR="0001723D" w:rsidRPr="007A55A2">
        <w:rPr>
          <w:rFonts w:ascii="Times New Roman" w:hAnsi="Times New Roman" w:cs="Times New Roman"/>
          <w:color w:val="000000" w:themeColor="text1"/>
          <w:lang w:val="lv-LV"/>
        </w:rPr>
        <w:t>attiecināmām personāla izmaksām</w:t>
      </w:r>
      <w:r w:rsidR="009623D8" w:rsidRPr="007A55A2">
        <w:rPr>
          <w:rFonts w:ascii="Times New Roman" w:hAnsi="Times New Roman" w:cs="Times New Roman"/>
          <w:color w:val="000000" w:themeColor="text1"/>
          <w:lang w:val="lv-LV"/>
        </w:rPr>
        <w:t>.</w:t>
      </w:r>
    </w:p>
    <w:p w14:paraId="7CE5667B" w14:textId="02AA696D" w:rsidR="00A56DB8" w:rsidRPr="007A55A2" w:rsidRDefault="00A56DB8" w:rsidP="00A56DB8">
      <w:pPr>
        <w:ind w:right="-6"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Apskatot šaurākas, pašreizējā Eiropas Savienības fondu plānošanas perioda no Eiropas Savienības struktūrfondu līdzfinansēta programmas, kuras pēc veicamo darbību satura arī var uzskatīt par inovāciju atbalsta un veicināšanas programmām, kā “Viedās pašvaldības”, ko regulē MK noteikumi Nr. 350</w:t>
      </w:r>
      <w:r w:rsidRPr="007A55A2">
        <w:rPr>
          <w:rStyle w:val="FootnoteReference"/>
          <w:rFonts w:ascii="Times New Roman" w:hAnsi="Times New Roman" w:cs="Times New Roman"/>
          <w:color w:val="000000" w:themeColor="text1"/>
          <w:lang w:val="lv-LV"/>
        </w:rPr>
        <w:footnoteReference w:id="24"/>
      </w:r>
      <w:r w:rsidRPr="007A55A2">
        <w:rPr>
          <w:rFonts w:ascii="Times New Roman" w:hAnsi="Times New Roman" w:cs="Times New Roman"/>
          <w:color w:val="000000" w:themeColor="text1"/>
          <w:lang w:val="lv-LV"/>
        </w:rPr>
        <w:t>, un “Inovācija, pilotprojekti, sadarbība ar zinātni zvejniecībā, akvakultūrā un apstrādē un zināšanu pārnese akvakultūrā</w:t>
      </w:r>
      <w:r w:rsidR="00685417" w:rsidRPr="007A55A2">
        <w:rPr>
          <w:rFonts w:ascii="Times New Roman" w:hAnsi="Times New Roman" w:cs="Times New Roman"/>
          <w:color w:val="000000" w:themeColor="text1"/>
          <w:lang w:val="lv-LV"/>
        </w:rPr>
        <w:t>”</w:t>
      </w:r>
      <w:r w:rsidRPr="007A55A2">
        <w:rPr>
          <w:rFonts w:ascii="Times New Roman" w:hAnsi="Times New Roman" w:cs="Times New Roman"/>
          <w:color w:val="000000" w:themeColor="text1"/>
          <w:lang w:val="lv-LV"/>
        </w:rPr>
        <w:t>, ko regulē MK noteikumi N. 722</w:t>
      </w:r>
      <w:r w:rsidRPr="007A55A2">
        <w:rPr>
          <w:rStyle w:val="FootnoteReference"/>
          <w:rFonts w:ascii="Times New Roman" w:hAnsi="Times New Roman" w:cs="Times New Roman"/>
          <w:color w:val="000000" w:themeColor="text1"/>
          <w:lang w:val="lv-LV"/>
        </w:rPr>
        <w:footnoteReference w:id="25"/>
      </w:r>
      <w:r w:rsidRPr="007A55A2">
        <w:rPr>
          <w:rFonts w:ascii="Times New Roman" w:hAnsi="Times New Roman" w:cs="Times New Roman"/>
          <w:color w:val="000000" w:themeColor="text1"/>
          <w:lang w:val="lv-LV"/>
        </w:rPr>
        <w:t>, var atrast līdzīgu regulējumu attiecībā pret netiešajām izmaksām - vienota netiešo izmaksu likmi 15 % apmērā no attiecināmām personāla izmaksām (šo noteikumu 37. un 35. punkts, attiecīgi).</w:t>
      </w:r>
    </w:p>
    <w:p w14:paraId="751EE347" w14:textId="3EE96952" w:rsidR="00D0047C" w:rsidRPr="007A55A2" w:rsidRDefault="00D0047C" w:rsidP="00D0047C">
      <w:pPr>
        <w:ind w:right="-6"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Abas programmas tehnoloģiju pārneses sistēmas pilnveidošanai un atbalstam, paredz vairāk tieši inovāciju veicināšanai specifisku darbību atbalstu</w:t>
      </w:r>
      <w:r w:rsidRPr="007A55A2">
        <w:rPr>
          <w:rStyle w:val="FootnoteReference"/>
          <w:rFonts w:ascii="Times New Roman" w:hAnsi="Times New Roman" w:cs="Times New Roman"/>
          <w:color w:val="000000" w:themeColor="text1"/>
          <w:lang w:val="lv-LV"/>
        </w:rPr>
        <w:footnoteReference w:id="26"/>
      </w:r>
      <w:r w:rsidRPr="007A55A2">
        <w:rPr>
          <w:rFonts w:ascii="Times New Roman" w:hAnsi="Times New Roman" w:cs="Times New Roman"/>
          <w:color w:val="000000" w:themeColor="text1"/>
          <w:lang w:val="lv-LV"/>
        </w:rPr>
        <w:t xml:space="preserve">: </w:t>
      </w:r>
    </w:p>
    <w:p w14:paraId="3D0220D7" w14:textId="77777777" w:rsidR="00D0047C" w:rsidRPr="007A55A2" w:rsidRDefault="00D0047C" w:rsidP="00D0047C">
      <w:pPr>
        <w:numPr>
          <w:ilvl w:val="0"/>
          <w:numId w:val="11"/>
        </w:numPr>
        <w:spacing w:after="60"/>
        <w:ind w:left="714" w:right="-6" w:hanging="35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komercializācijas stratēģijas izstrāde;</w:t>
      </w:r>
    </w:p>
    <w:p w14:paraId="15B2B04D" w14:textId="77777777" w:rsidR="00D0047C" w:rsidRPr="007A55A2" w:rsidRDefault="00D0047C" w:rsidP="00D0047C">
      <w:pPr>
        <w:numPr>
          <w:ilvl w:val="0"/>
          <w:numId w:val="11"/>
        </w:numPr>
        <w:spacing w:after="60"/>
        <w:ind w:left="714" w:right="-6" w:hanging="35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tehniski ekonomiskā priekšizpēte;</w:t>
      </w:r>
    </w:p>
    <w:p w14:paraId="0322256F" w14:textId="77777777" w:rsidR="00D0047C" w:rsidRPr="007A55A2" w:rsidRDefault="00D0047C" w:rsidP="00D0047C">
      <w:pPr>
        <w:numPr>
          <w:ilvl w:val="0"/>
          <w:numId w:val="11"/>
        </w:numPr>
        <w:spacing w:after="60"/>
        <w:ind w:left="714" w:right="-6" w:hanging="35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rūpnieciskie pētījumi;</w:t>
      </w:r>
    </w:p>
    <w:p w14:paraId="5002D449" w14:textId="77777777" w:rsidR="00D0047C" w:rsidRPr="007A55A2" w:rsidRDefault="00D0047C" w:rsidP="00D0047C">
      <w:pPr>
        <w:numPr>
          <w:ilvl w:val="0"/>
          <w:numId w:val="11"/>
        </w:numPr>
        <w:spacing w:after="60"/>
        <w:ind w:left="714" w:right="-6" w:hanging="35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eksperimentālā izstrādne;</w:t>
      </w:r>
    </w:p>
    <w:p w14:paraId="1796E0DF" w14:textId="77777777" w:rsidR="00D0047C" w:rsidRPr="007A55A2" w:rsidRDefault="00D0047C" w:rsidP="00D0047C">
      <w:pPr>
        <w:numPr>
          <w:ilvl w:val="0"/>
          <w:numId w:val="11"/>
        </w:numPr>
        <w:spacing w:after="60"/>
        <w:ind w:left="714" w:right="-6" w:hanging="35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rūpnieciskā īpašuma tiesību nostiprināšana;</w:t>
      </w:r>
    </w:p>
    <w:p w14:paraId="123D8828" w14:textId="77777777" w:rsidR="00D0047C" w:rsidRPr="007A55A2" w:rsidRDefault="00D0047C" w:rsidP="00D0047C">
      <w:pPr>
        <w:numPr>
          <w:ilvl w:val="0"/>
          <w:numId w:val="11"/>
        </w:numPr>
        <w:spacing w:after="60"/>
        <w:ind w:left="714" w:right="-6" w:hanging="35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produkta rūpnieciskā dizaina izstrāde;</w:t>
      </w:r>
    </w:p>
    <w:p w14:paraId="5D9D2266" w14:textId="77777777" w:rsidR="00D0047C" w:rsidRPr="007A55A2" w:rsidRDefault="00D0047C" w:rsidP="00D0047C">
      <w:pPr>
        <w:numPr>
          <w:ilvl w:val="0"/>
          <w:numId w:val="11"/>
        </w:numPr>
        <w:spacing w:after="60"/>
        <w:ind w:left="714" w:right="-6" w:hanging="35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produkta vai tehnoloģijas sertificēšanas un testēšanas pakalpojumi;</w:t>
      </w:r>
    </w:p>
    <w:p w14:paraId="703D81E9" w14:textId="77777777" w:rsidR="00D0047C" w:rsidRPr="007A55A2" w:rsidRDefault="00D0047C" w:rsidP="00D0047C">
      <w:pPr>
        <w:numPr>
          <w:ilvl w:val="0"/>
          <w:numId w:val="11"/>
        </w:numPr>
        <w:spacing w:after="60"/>
        <w:ind w:left="714" w:right="-6" w:hanging="35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komercializācijas piedāvājuma sagatavošana;</w:t>
      </w:r>
    </w:p>
    <w:p w14:paraId="02ADC634" w14:textId="77777777" w:rsidR="00D0047C" w:rsidRPr="007A55A2" w:rsidRDefault="00D0047C" w:rsidP="00D0047C">
      <w:pPr>
        <w:numPr>
          <w:ilvl w:val="0"/>
          <w:numId w:val="11"/>
        </w:numPr>
        <w:spacing w:after="60"/>
        <w:ind w:left="714" w:right="-6" w:hanging="35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licencēšanas pakalpojumi;</w:t>
      </w:r>
    </w:p>
    <w:p w14:paraId="5F99646C" w14:textId="77777777" w:rsidR="00D0047C" w:rsidRPr="007A55A2" w:rsidRDefault="00D0047C" w:rsidP="00D0047C">
      <w:pPr>
        <w:numPr>
          <w:ilvl w:val="0"/>
          <w:numId w:val="11"/>
        </w:numPr>
        <w:spacing w:after="60"/>
        <w:ind w:left="714" w:right="-6" w:hanging="35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dalība starptautiskajās izstādēs, kontaktbiržās, konferencēs (semināros) ārvalstīs un individuālajās vizītēs un dalība Latvijas Investīciju un attīstības aģentūras organizētajos nacionālajos stendos un tirdzniecības misijās.</w:t>
      </w:r>
    </w:p>
    <w:p w14:paraId="447DE009" w14:textId="0012E256" w:rsidR="00BA7939" w:rsidRPr="007A55A2" w:rsidRDefault="000F560F" w:rsidP="00CA42E2">
      <w:pPr>
        <w:ind w:right="-6"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Var redzēt, ka </w:t>
      </w:r>
      <w:r w:rsidR="00584AEE" w:rsidRPr="007A55A2">
        <w:rPr>
          <w:rFonts w:ascii="Times New Roman" w:hAnsi="Times New Roman" w:cs="Times New Roman"/>
          <w:color w:val="000000" w:themeColor="text1"/>
          <w:lang w:val="lv-LV"/>
        </w:rPr>
        <w:t>pa</w:t>
      </w:r>
      <w:r w:rsidR="007D0382" w:rsidRPr="007A55A2">
        <w:rPr>
          <w:rFonts w:ascii="Times New Roman" w:hAnsi="Times New Roman" w:cs="Times New Roman"/>
          <w:color w:val="000000" w:themeColor="text1"/>
          <w:lang w:val="lv-LV"/>
        </w:rPr>
        <w:t>š</w:t>
      </w:r>
      <w:r w:rsidR="00584AEE" w:rsidRPr="007A55A2">
        <w:rPr>
          <w:rFonts w:ascii="Times New Roman" w:hAnsi="Times New Roman" w:cs="Times New Roman"/>
          <w:color w:val="000000" w:themeColor="text1"/>
          <w:lang w:val="lv-LV"/>
        </w:rPr>
        <w:t xml:space="preserve">reiz </w:t>
      </w:r>
      <w:r w:rsidRPr="007A55A2">
        <w:rPr>
          <w:rFonts w:ascii="Times New Roman" w:hAnsi="Times New Roman" w:cs="Times New Roman"/>
          <w:color w:val="000000" w:themeColor="text1"/>
          <w:lang w:val="lv-LV"/>
        </w:rPr>
        <w:t xml:space="preserve">attiecībā uz dažāda veida inovāciju atbalsta un veicināšanas programmām </w:t>
      </w:r>
      <w:r w:rsidR="00584AEE" w:rsidRPr="007A55A2">
        <w:rPr>
          <w:rFonts w:ascii="Times New Roman" w:hAnsi="Times New Roman" w:cs="Times New Roman"/>
          <w:color w:val="000000" w:themeColor="text1"/>
          <w:lang w:val="lv-LV"/>
        </w:rPr>
        <w:t xml:space="preserve">tiek piemērota divu veida pieeja </w:t>
      </w:r>
      <w:r w:rsidR="00C71FB2" w:rsidRPr="007A55A2">
        <w:rPr>
          <w:rFonts w:ascii="Times New Roman" w:hAnsi="Times New Roman" w:cs="Times New Roman"/>
          <w:color w:val="000000" w:themeColor="text1"/>
          <w:lang w:val="lv-LV"/>
        </w:rPr>
        <w:t xml:space="preserve">netiešo izmaksu noteikšanai: 25% </w:t>
      </w:r>
      <w:r w:rsidR="007C6355" w:rsidRPr="007A55A2">
        <w:rPr>
          <w:rFonts w:ascii="Times New Roman" w:hAnsi="Times New Roman" w:cs="Times New Roman"/>
          <w:color w:val="000000" w:themeColor="text1"/>
          <w:lang w:val="lv-LV"/>
        </w:rPr>
        <w:t xml:space="preserve">vai līdz 25% </w:t>
      </w:r>
      <w:r w:rsidR="00C71FB2" w:rsidRPr="007A55A2">
        <w:rPr>
          <w:rFonts w:ascii="Times New Roman" w:hAnsi="Times New Roman" w:cs="Times New Roman"/>
          <w:color w:val="000000" w:themeColor="text1"/>
          <w:lang w:val="lv-LV"/>
        </w:rPr>
        <w:t>projektiem</w:t>
      </w:r>
      <w:r w:rsidR="00607250" w:rsidRPr="007A55A2">
        <w:rPr>
          <w:rFonts w:ascii="Times New Roman" w:hAnsi="Times New Roman" w:cs="Times New Roman"/>
          <w:color w:val="000000" w:themeColor="text1"/>
          <w:lang w:val="lv-LV"/>
        </w:rPr>
        <w:t>, kas paredz ciešu pētniecisko un inovāciju izstrādnes sasaisti</w:t>
      </w:r>
      <w:r w:rsidR="007C6355" w:rsidRPr="007A55A2">
        <w:rPr>
          <w:rFonts w:ascii="Times New Roman" w:hAnsi="Times New Roman" w:cs="Times New Roman"/>
          <w:color w:val="000000" w:themeColor="text1"/>
          <w:lang w:val="lv-LV"/>
        </w:rPr>
        <w:t xml:space="preserve">, un </w:t>
      </w:r>
      <w:r w:rsidR="00343EBD" w:rsidRPr="007A55A2">
        <w:rPr>
          <w:rFonts w:ascii="Times New Roman" w:hAnsi="Times New Roman" w:cs="Times New Roman"/>
          <w:color w:val="000000" w:themeColor="text1"/>
          <w:lang w:val="lv-LV"/>
        </w:rPr>
        <w:t>15%</w:t>
      </w:r>
      <w:r w:rsidR="00B41551" w:rsidRPr="007A55A2">
        <w:rPr>
          <w:rFonts w:ascii="Times New Roman" w:hAnsi="Times New Roman" w:cs="Times New Roman"/>
          <w:color w:val="000000" w:themeColor="text1"/>
          <w:lang w:val="lv-LV"/>
        </w:rPr>
        <w:t xml:space="preserve"> projektiem programmās, kurās paredzēt</w:t>
      </w:r>
      <w:r w:rsidR="005E0233" w:rsidRPr="007A55A2">
        <w:rPr>
          <w:rFonts w:ascii="Times New Roman" w:hAnsi="Times New Roman" w:cs="Times New Roman"/>
          <w:color w:val="000000" w:themeColor="text1"/>
          <w:lang w:val="lv-LV"/>
        </w:rPr>
        <w:t>as</w:t>
      </w:r>
      <w:r w:rsidR="003E0DD3" w:rsidRPr="007A55A2">
        <w:rPr>
          <w:rFonts w:ascii="Times New Roman" w:hAnsi="Times New Roman" w:cs="Times New Roman"/>
          <w:color w:val="000000" w:themeColor="text1"/>
          <w:lang w:val="lv-LV"/>
        </w:rPr>
        <w:t xml:space="preserve"> specifiskas inovāciju atbalsta darbības</w:t>
      </w:r>
      <w:r w:rsidR="0001552B" w:rsidRPr="007A55A2">
        <w:rPr>
          <w:rFonts w:ascii="Times New Roman" w:hAnsi="Times New Roman" w:cs="Times New Roman"/>
          <w:color w:val="000000" w:themeColor="text1"/>
          <w:lang w:val="lv-LV"/>
        </w:rPr>
        <w:t>.</w:t>
      </w:r>
      <w:r w:rsidR="00CA42E2" w:rsidRPr="007A55A2">
        <w:rPr>
          <w:rFonts w:ascii="Times New Roman" w:hAnsi="Times New Roman" w:cs="Times New Roman"/>
          <w:color w:val="000000" w:themeColor="text1"/>
          <w:lang w:val="lv-LV"/>
        </w:rPr>
        <w:t xml:space="preserve"> Nosakot netiešo izmaksu vēlamo apmēru noteikt</w:t>
      </w:r>
      <w:r w:rsidR="000C3D47" w:rsidRPr="007A55A2">
        <w:rPr>
          <w:rFonts w:ascii="Times New Roman" w:hAnsi="Times New Roman" w:cs="Times New Roman"/>
          <w:color w:val="000000" w:themeColor="text1"/>
          <w:lang w:val="lv-LV"/>
        </w:rPr>
        <w:t>u</w:t>
      </w:r>
      <w:r w:rsidR="00CA42E2" w:rsidRPr="007A55A2">
        <w:rPr>
          <w:rFonts w:ascii="Times New Roman" w:hAnsi="Times New Roman" w:cs="Times New Roman"/>
          <w:color w:val="000000" w:themeColor="text1"/>
          <w:lang w:val="lv-LV"/>
        </w:rPr>
        <w:t xml:space="preserve"> programmu projektiem </w:t>
      </w:r>
      <w:r w:rsidR="00F5506F" w:rsidRPr="007A55A2">
        <w:rPr>
          <w:rFonts w:ascii="Times New Roman" w:hAnsi="Times New Roman" w:cs="Times New Roman"/>
          <w:color w:val="000000" w:themeColor="text1"/>
          <w:lang w:val="lv-LV"/>
        </w:rPr>
        <w:t xml:space="preserve">un </w:t>
      </w:r>
      <w:r w:rsidR="00CA42E2" w:rsidRPr="007A55A2">
        <w:rPr>
          <w:rFonts w:ascii="Times New Roman" w:hAnsi="Times New Roman" w:cs="Times New Roman"/>
          <w:color w:val="000000" w:themeColor="text1"/>
          <w:lang w:val="lv-LV"/>
        </w:rPr>
        <w:t>salīdzin</w:t>
      </w:r>
      <w:r w:rsidR="00F5506F" w:rsidRPr="007A55A2">
        <w:rPr>
          <w:rFonts w:ascii="Times New Roman" w:hAnsi="Times New Roman" w:cs="Times New Roman"/>
          <w:color w:val="000000" w:themeColor="text1"/>
          <w:lang w:val="lv-LV"/>
        </w:rPr>
        <w:t xml:space="preserve">ot </w:t>
      </w:r>
      <w:r w:rsidR="00D21186" w:rsidRPr="007A55A2">
        <w:rPr>
          <w:rFonts w:ascii="Times New Roman" w:hAnsi="Times New Roman" w:cs="Times New Roman"/>
          <w:color w:val="000000" w:themeColor="text1"/>
          <w:lang w:val="lv-LV"/>
        </w:rPr>
        <w:t xml:space="preserve">šo apmēru </w:t>
      </w:r>
      <w:r w:rsidR="000C3D47" w:rsidRPr="007A55A2">
        <w:rPr>
          <w:rFonts w:ascii="Times New Roman" w:hAnsi="Times New Roman" w:cs="Times New Roman"/>
          <w:color w:val="000000" w:themeColor="text1"/>
          <w:lang w:val="lv-LV"/>
        </w:rPr>
        <w:t xml:space="preserve">ar </w:t>
      </w:r>
      <w:r w:rsidR="004D650A" w:rsidRPr="007A55A2">
        <w:rPr>
          <w:rFonts w:ascii="Times New Roman" w:hAnsi="Times New Roman" w:cs="Times New Roman"/>
          <w:color w:val="000000" w:themeColor="text1"/>
          <w:lang w:val="lv-LV"/>
        </w:rPr>
        <w:t>regulējumu citās programmās</w:t>
      </w:r>
      <w:r w:rsidR="00F2114A" w:rsidRPr="007A55A2">
        <w:rPr>
          <w:rFonts w:ascii="Times New Roman" w:hAnsi="Times New Roman" w:cs="Times New Roman"/>
          <w:color w:val="000000" w:themeColor="text1"/>
          <w:lang w:val="lv-LV"/>
        </w:rPr>
        <w:t xml:space="preserve">, būtu jāsalīdzina </w:t>
      </w:r>
      <w:r w:rsidR="00D21186" w:rsidRPr="007A55A2">
        <w:rPr>
          <w:rFonts w:ascii="Times New Roman" w:hAnsi="Times New Roman" w:cs="Times New Roman"/>
          <w:color w:val="000000" w:themeColor="text1"/>
          <w:lang w:val="lv-LV"/>
        </w:rPr>
        <w:t xml:space="preserve">arī </w:t>
      </w:r>
      <w:r w:rsidR="00F2114A" w:rsidRPr="007A55A2">
        <w:rPr>
          <w:rFonts w:ascii="Times New Roman" w:hAnsi="Times New Roman" w:cs="Times New Roman"/>
          <w:color w:val="000000" w:themeColor="text1"/>
          <w:lang w:val="lv-LV"/>
        </w:rPr>
        <w:t>darbību raksturs</w:t>
      </w:r>
      <w:r w:rsidR="00E430E3" w:rsidRPr="007A55A2">
        <w:rPr>
          <w:rFonts w:ascii="Times New Roman" w:hAnsi="Times New Roman" w:cs="Times New Roman"/>
          <w:color w:val="000000" w:themeColor="text1"/>
          <w:lang w:val="lv-LV"/>
        </w:rPr>
        <w:t>, k</w:t>
      </w:r>
      <w:r w:rsidR="00733D76" w:rsidRPr="007A55A2">
        <w:rPr>
          <w:rFonts w:ascii="Times New Roman" w:hAnsi="Times New Roman" w:cs="Times New Roman"/>
          <w:color w:val="000000" w:themeColor="text1"/>
          <w:lang w:val="lv-LV"/>
        </w:rPr>
        <w:t>ura</w:t>
      </w:r>
      <w:r w:rsidR="00E430E3" w:rsidRPr="007A55A2">
        <w:rPr>
          <w:rFonts w:ascii="Times New Roman" w:hAnsi="Times New Roman" w:cs="Times New Roman"/>
          <w:color w:val="000000" w:themeColor="text1"/>
          <w:lang w:val="lv-LV"/>
        </w:rPr>
        <w:t xml:space="preserve">s paredzēts veikt </w:t>
      </w:r>
      <w:r w:rsidR="00046BAB" w:rsidRPr="007A55A2">
        <w:rPr>
          <w:rFonts w:ascii="Times New Roman" w:hAnsi="Times New Roman" w:cs="Times New Roman"/>
          <w:color w:val="000000" w:themeColor="text1"/>
          <w:lang w:val="lv-LV"/>
        </w:rPr>
        <w:t>programmu</w:t>
      </w:r>
      <w:r w:rsidR="00E430E3" w:rsidRPr="007A55A2">
        <w:rPr>
          <w:rFonts w:ascii="Times New Roman" w:hAnsi="Times New Roman" w:cs="Times New Roman"/>
          <w:color w:val="000000" w:themeColor="text1"/>
          <w:lang w:val="lv-LV"/>
        </w:rPr>
        <w:t xml:space="preserve"> ietvaros</w:t>
      </w:r>
      <w:r w:rsidR="00BA7939" w:rsidRPr="007A55A2">
        <w:rPr>
          <w:rFonts w:ascii="Times New Roman" w:hAnsi="Times New Roman" w:cs="Times New Roman"/>
          <w:color w:val="000000" w:themeColor="text1"/>
          <w:lang w:val="lv-LV"/>
        </w:rPr>
        <w:t>:</w:t>
      </w:r>
    </w:p>
    <w:p w14:paraId="7183E681" w14:textId="2BAC1A6E" w:rsidR="004565EF" w:rsidRPr="007A55A2" w:rsidRDefault="00BA7939" w:rsidP="00043D80">
      <w:pPr>
        <w:pStyle w:val="ListParagraph"/>
        <w:numPr>
          <w:ilvl w:val="0"/>
          <w:numId w:val="13"/>
        </w:numPr>
        <w:ind w:left="709" w:right="-6" w:hanging="283"/>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lastRenderedPageBreak/>
        <w:t>programmām un projektiem</w:t>
      </w:r>
      <w:r w:rsidR="00A128FA" w:rsidRPr="007A55A2">
        <w:rPr>
          <w:rFonts w:ascii="Times New Roman" w:hAnsi="Times New Roman" w:cs="Times New Roman"/>
          <w:color w:val="000000" w:themeColor="text1"/>
          <w:lang w:val="lv-LV"/>
        </w:rPr>
        <w:t>, kur pētniecības un inovāciju darbības ir cieši saistītas,</w:t>
      </w:r>
      <w:r w:rsidRPr="007A55A2">
        <w:rPr>
          <w:rFonts w:ascii="Times New Roman" w:hAnsi="Times New Roman" w:cs="Times New Roman"/>
          <w:color w:val="000000" w:themeColor="text1"/>
          <w:lang w:val="lv-LV"/>
        </w:rPr>
        <w:t xml:space="preserve"> būtu piemērotāks netiešo izmaksu vienotas 25% likmes apmērs vai līdz 25% no projekta tiešo izmaksu summas, kurā abos gadījumos nav ieskaitītas ārpakalpojumu izmaksas</w:t>
      </w:r>
      <w:r w:rsidR="004565EF" w:rsidRPr="007A55A2">
        <w:rPr>
          <w:rFonts w:ascii="Times New Roman" w:hAnsi="Times New Roman" w:cs="Times New Roman"/>
          <w:color w:val="000000" w:themeColor="text1"/>
          <w:lang w:val="lv-LV"/>
        </w:rPr>
        <w:t>;</w:t>
      </w:r>
    </w:p>
    <w:p w14:paraId="135D1106" w14:textId="2645DC4D" w:rsidR="00CA42E2" w:rsidRPr="007A55A2" w:rsidRDefault="004565EF" w:rsidP="00043D80">
      <w:pPr>
        <w:pStyle w:val="ListParagraph"/>
        <w:numPr>
          <w:ilvl w:val="0"/>
          <w:numId w:val="13"/>
        </w:numPr>
        <w:ind w:left="709" w:right="-6" w:hanging="283"/>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programmām un projektiem, </w:t>
      </w:r>
      <w:r w:rsidR="00CC3B15" w:rsidRPr="007A55A2">
        <w:rPr>
          <w:rFonts w:ascii="Times New Roman" w:hAnsi="Times New Roman" w:cs="Times New Roman"/>
          <w:color w:val="000000" w:themeColor="text1"/>
          <w:lang w:val="lv-LV"/>
        </w:rPr>
        <w:t>akcents ir uz</w:t>
      </w:r>
      <w:r w:rsidRPr="007A55A2">
        <w:rPr>
          <w:rFonts w:ascii="Times New Roman" w:hAnsi="Times New Roman" w:cs="Times New Roman"/>
          <w:color w:val="000000" w:themeColor="text1"/>
          <w:lang w:val="lv-LV"/>
        </w:rPr>
        <w:t xml:space="preserve"> </w:t>
      </w:r>
      <w:r w:rsidR="00CC3B15" w:rsidRPr="007A55A2">
        <w:rPr>
          <w:rFonts w:ascii="Times New Roman" w:hAnsi="Times New Roman" w:cs="Times New Roman"/>
          <w:color w:val="000000" w:themeColor="text1"/>
          <w:lang w:val="lv-LV"/>
        </w:rPr>
        <w:t xml:space="preserve">inovācijām, to izstrādei, atbalstu un komercializācijas veicināšanu, </w:t>
      </w:r>
      <w:r w:rsidR="00994305" w:rsidRPr="007A55A2">
        <w:rPr>
          <w:rFonts w:ascii="Times New Roman" w:hAnsi="Times New Roman" w:cs="Times New Roman"/>
          <w:color w:val="000000" w:themeColor="text1"/>
          <w:lang w:val="lv-LV"/>
        </w:rPr>
        <w:t>vēlams piemērot</w:t>
      </w:r>
      <w:r w:rsidR="0016217A" w:rsidRPr="007A55A2">
        <w:rPr>
          <w:rFonts w:ascii="Times New Roman" w:hAnsi="Times New Roman" w:cs="Times New Roman"/>
          <w:color w:val="000000" w:themeColor="text1"/>
          <w:lang w:val="lv-LV"/>
        </w:rPr>
        <w:t xml:space="preserve"> vienotu netiešo izmaksu likmi 15 % apmērā no attiecināmām personāla izmaksām</w:t>
      </w:r>
      <w:r w:rsidR="00CC3B15" w:rsidRPr="007A55A2">
        <w:rPr>
          <w:rFonts w:ascii="Times New Roman" w:hAnsi="Times New Roman" w:cs="Times New Roman"/>
          <w:color w:val="000000" w:themeColor="text1"/>
          <w:lang w:val="lv-LV"/>
        </w:rPr>
        <w:t>.</w:t>
      </w:r>
    </w:p>
    <w:p w14:paraId="64C82A27" w14:textId="2EC492E9" w:rsidR="00C4412C" w:rsidRPr="007A55A2" w:rsidRDefault="00C4412C" w:rsidP="00EA211D">
      <w:pPr>
        <w:keepNext/>
        <w:keepLines/>
        <w:pageBreakBefore/>
        <w:spacing w:before="480"/>
        <w:ind w:right="-6"/>
        <w:jc w:val="center"/>
        <w:rPr>
          <w:rFonts w:ascii="Times New Roman" w:hAnsi="Times New Roman" w:cs="Times New Roman"/>
          <w:b/>
          <w:bCs/>
          <w:color w:val="000000" w:themeColor="text1"/>
          <w:lang w:val="lv-LV"/>
        </w:rPr>
      </w:pPr>
      <w:r w:rsidRPr="007A55A2">
        <w:rPr>
          <w:rFonts w:ascii="Times New Roman" w:hAnsi="Times New Roman" w:cs="Times New Roman"/>
          <w:b/>
          <w:bCs/>
          <w:color w:val="000000" w:themeColor="text1"/>
          <w:lang w:val="lv-LV"/>
        </w:rPr>
        <w:lastRenderedPageBreak/>
        <w:t>Secinājumi</w:t>
      </w:r>
      <w:r w:rsidR="00113EC1" w:rsidRPr="007A55A2">
        <w:rPr>
          <w:rFonts w:ascii="Times New Roman" w:hAnsi="Times New Roman" w:cs="Times New Roman"/>
          <w:b/>
          <w:bCs/>
          <w:color w:val="000000" w:themeColor="text1"/>
          <w:lang w:val="lv-LV"/>
        </w:rPr>
        <w:t xml:space="preserve"> un ieteikumi</w:t>
      </w:r>
    </w:p>
    <w:p w14:paraId="5552CAD7" w14:textId="1FA00772" w:rsidR="00BA22D1" w:rsidRPr="007A55A2" w:rsidRDefault="00BA22D1" w:rsidP="00232750">
      <w:pPr>
        <w:ind w:right="-6"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Pašreiz</w:t>
      </w:r>
      <w:r w:rsidR="00F646C5" w:rsidRPr="007A55A2">
        <w:rPr>
          <w:rFonts w:ascii="Times New Roman" w:hAnsi="Times New Roman" w:cs="Times New Roman"/>
          <w:color w:val="000000" w:themeColor="text1"/>
          <w:lang w:val="lv-LV"/>
        </w:rPr>
        <w:t>,</w:t>
      </w:r>
      <w:r w:rsidRPr="007A55A2">
        <w:rPr>
          <w:rFonts w:ascii="Times New Roman" w:hAnsi="Times New Roman" w:cs="Times New Roman"/>
          <w:color w:val="000000" w:themeColor="text1"/>
          <w:lang w:val="lv-LV"/>
        </w:rPr>
        <w:t xml:space="preserve"> neviens no </w:t>
      </w:r>
      <w:r w:rsidR="00EC4565" w:rsidRPr="007A55A2">
        <w:rPr>
          <w:rFonts w:ascii="Times New Roman" w:hAnsi="Times New Roman" w:cs="Times New Roman"/>
          <w:color w:val="000000" w:themeColor="text1"/>
          <w:lang w:val="lv-LV"/>
        </w:rPr>
        <w:t>apskatīt</w:t>
      </w:r>
      <w:r w:rsidR="007F668B" w:rsidRPr="007A55A2">
        <w:rPr>
          <w:rFonts w:ascii="Times New Roman" w:hAnsi="Times New Roman" w:cs="Times New Roman"/>
          <w:color w:val="000000" w:themeColor="text1"/>
          <w:lang w:val="lv-LV"/>
        </w:rPr>
        <w:t>ajiem</w:t>
      </w:r>
      <w:r w:rsidR="00EC4565" w:rsidRPr="007A55A2">
        <w:rPr>
          <w:rFonts w:ascii="Times New Roman" w:hAnsi="Times New Roman" w:cs="Times New Roman"/>
          <w:color w:val="000000" w:themeColor="text1"/>
          <w:lang w:val="lv-LV"/>
        </w:rPr>
        <w:t xml:space="preserve"> </w:t>
      </w:r>
      <w:r w:rsidRPr="007A55A2">
        <w:rPr>
          <w:rFonts w:ascii="Times New Roman" w:hAnsi="Times New Roman" w:cs="Times New Roman"/>
          <w:color w:val="000000" w:themeColor="text1"/>
          <w:lang w:val="lv-LV"/>
        </w:rPr>
        <w:t>Latvijā īstenot</w:t>
      </w:r>
      <w:r w:rsidR="00D81C3D" w:rsidRPr="007A55A2">
        <w:rPr>
          <w:rFonts w:ascii="Times New Roman" w:hAnsi="Times New Roman" w:cs="Times New Roman"/>
          <w:color w:val="000000" w:themeColor="text1"/>
          <w:lang w:val="lv-LV"/>
        </w:rPr>
        <w:t>o</w:t>
      </w:r>
      <w:r w:rsidRPr="007A55A2">
        <w:rPr>
          <w:rFonts w:ascii="Times New Roman" w:hAnsi="Times New Roman" w:cs="Times New Roman"/>
          <w:color w:val="000000" w:themeColor="text1"/>
          <w:lang w:val="lv-LV"/>
        </w:rPr>
        <w:t xml:space="preserve"> </w:t>
      </w:r>
      <w:r w:rsidR="007F668B" w:rsidRPr="007A55A2">
        <w:rPr>
          <w:rFonts w:ascii="Times New Roman" w:hAnsi="Times New Roman" w:cs="Times New Roman"/>
          <w:color w:val="000000" w:themeColor="text1"/>
          <w:lang w:val="lv-LV"/>
        </w:rPr>
        <w:t xml:space="preserve">pētniecības programmu veidiem </w:t>
      </w:r>
      <w:r w:rsidRPr="007A55A2">
        <w:rPr>
          <w:rFonts w:ascii="Times New Roman" w:hAnsi="Times New Roman" w:cs="Times New Roman"/>
          <w:color w:val="000000" w:themeColor="text1"/>
          <w:lang w:val="lv-LV"/>
        </w:rPr>
        <w:t xml:space="preserve">vai </w:t>
      </w:r>
      <w:r w:rsidR="007F668B" w:rsidRPr="007A55A2">
        <w:rPr>
          <w:rFonts w:ascii="Times New Roman" w:hAnsi="Times New Roman" w:cs="Times New Roman"/>
          <w:color w:val="000000" w:themeColor="text1"/>
          <w:lang w:val="lv-LV"/>
        </w:rPr>
        <w:t>starptautiskām programmām</w:t>
      </w:r>
      <w:r w:rsidRPr="007A55A2">
        <w:rPr>
          <w:rFonts w:ascii="Times New Roman" w:hAnsi="Times New Roman" w:cs="Times New Roman"/>
          <w:color w:val="000000" w:themeColor="text1"/>
          <w:lang w:val="lv-LV"/>
        </w:rPr>
        <w:t xml:space="preserve">, kuros piedalās Latvijas </w:t>
      </w:r>
      <w:r w:rsidR="004A30DB" w:rsidRPr="007A55A2">
        <w:rPr>
          <w:rFonts w:ascii="Times New Roman" w:hAnsi="Times New Roman" w:cs="Times New Roman"/>
          <w:color w:val="000000" w:themeColor="text1"/>
          <w:lang w:val="lv-LV"/>
        </w:rPr>
        <w:t xml:space="preserve">pētniecības </w:t>
      </w:r>
      <w:r w:rsidRPr="007A55A2">
        <w:rPr>
          <w:rFonts w:ascii="Times New Roman" w:hAnsi="Times New Roman" w:cs="Times New Roman"/>
          <w:color w:val="000000" w:themeColor="text1"/>
          <w:lang w:val="lv-LV"/>
        </w:rPr>
        <w:t>institūcijas, vairs neparedz netiešo izmaksu noteikšanas kārtību, kuros būtu iekļautas arī ārpakalpojumu vai līdzīgas izmaksas</w:t>
      </w:r>
      <w:r w:rsidR="009A2D7F" w:rsidRPr="007A55A2">
        <w:rPr>
          <w:rFonts w:ascii="Times New Roman" w:hAnsi="Times New Roman" w:cs="Times New Roman"/>
          <w:color w:val="000000" w:themeColor="text1"/>
          <w:lang w:val="lv-LV"/>
        </w:rPr>
        <w:t>,</w:t>
      </w:r>
      <w:r w:rsidR="00D81C3D" w:rsidRPr="007A55A2">
        <w:rPr>
          <w:rFonts w:ascii="Times New Roman" w:hAnsi="Times New Roman" w:cs="Times New Roman"/>
          <w:color w:val="000000" w:themeColor="text1"/>
          <w:lang w:val="lv-LV"/>
        </w:rPr>
        <w:t xml:space="preserve"> </w:t>
      </w:r>
      <w:r w:rsidR="00B77B1A" w:rsidRPr="007A55A2">
        <w:rPr>
          <w:rFonts w:ascii="Times New Roman" w:hAnsi="Times New Roman" w:cs="Times New Roman"/>
          <w:color w:val="000000" w:themeColor="text1"/>
          <w:lang w:val="lv-LV"/>
        </w:rPr>
        <w:t>u</w:t>
      </w:r>
      <w:r w:rsidR="004A30DB" w:rsidRPr="007A55A2">
        <w:rPr>
          <w:rFonts w:ascii="Times New Roman" w:hAnsi="Times New Roman" w:cs="Times New Roman"/>
          <w:color w:val="000000" w:themeColor="text1"/>
          <w:lang w:val="lv-LV"/>
        </w:rPr>
        <w:t xml:space="preserve">n tādu praksi </w:t>
      </w:r>
      <w:r w:rsidR="00B77B1A" w:rsidRPr="007A55A2">
        <w:rPr>
          <w:rFonts w:ascii="Times New Roman" w:hAnsi="Times New Roman" w:cs="Times New Roman"/>
          <w:color w:val="000000" w:themeColor="text1"/>
          <w:lang w:val="lv-LV"/>
        </w:rPr>
        <w:t xml:space="preserve">vairs </w:t>
      </w:r>
      <w:r w:rsidR="004A30DB" w:rsidRPr="007A55A2">
        <w:rPr>
          <w:rFonts w:ascii="Times New Roman" w:hAnsi="Times New Roman" w:cs="Times New Roman"/>
          <w:color w:val="000000" w:themeColor="text1"/>
          <w:lang w:val="lv-LV"/>
        </w:rPr>
        <w:t xml:space="preserve">nebūtu vēlams atjaunot. </w:t>
      </w:r>
      <w:r w:rsidR="00D81C3D" w:rsidRPr="007A55A2">
        <w:rPr>
          <w:rFonts w:ascii="Times New Roman" w:hAnsi="Times New Roman" w:cs="Times New Roman"/>
          <w:color w:val="000000" w:themeColor="text1"/>
          <w:lang w:val="lv-LV"/>
        </w:rPr>
        <w:t>Netiešās izmaksas tiek saistītas tikai ar izmaksām, kuras veic tikai pašas pētniecību īstenojošās institūcijas.</w:t>
      </w:r>
      <w:r w:rsidR="00E330FB" w:rsidRPr="007A55A2">
        <w:rPr>
          <w:rFonts w:ascii="Times New Roman" w:hAnsi="Times New Roman" w:cs="Times New Roman"/>
          <w:color w:val="000000" w:themeColor="text1"/>
          <w:lang w:val="lv-LV"/>
        </w:rPr>
        <w:t xml:space="preserve"> Savukārt ārējo pakalpojumu izmaksas pēc būtības jau ietver netiešās izmaksas, kuras ārējo pakalpojumu sniedzējs ir ietvēris pakalpojumu cenā.</w:t>
      </w:r>
    </w:p>
    <w:p w14:paraId="7798F97E" w14:textId="3606078D" w:rsidR="007F668B" w:rsidRPr="007A55A2" w:rsidRDefault="007F668B" w:rsidP="00367B4E">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Nosakot netiešo izmaksu noteikšanas kārtību, būtu vēlams izvēlēties</w:t>
      </w:r>
      <w:r w:rsidR="00F646C5" w:rsidRPr="007A55A2">
        <w:rPr>
          <w:rFonts w:ascii="Times New Roman" w:hAnsi="Times New Roman" w:cs="Times New Roman"/>
          <w:color w:val="000000" w:themeColor="text1"/>
          <w:lang w:val="lv-LV"/>
        </w:rPr>
        <w:t xml:space="preserve"> par šo izmaksu aprēķinu</w:t>
      </w:r>
      <w:r w:rsidRPr="007A55A2">
        <w:rPr>
          <w:rFonts w:ascii="Times New Roman" w:hAnsi="Times New Roman" w:cs="Times New Roman"/>
          <w:color w:val="000000" w:themeColor="text1"/>
          <w:lang w:val="lv-LV"/>
        </w:rPr>
        <w:t xml:space="preserve"> pret kādu no</w:t>
      </w:r>
      <w:r w:rsidR="00B77B1A" w:rsidRPr="007A55A2">
        <w:rPr>
          <w:rFonts w:ascii="Times New Roman" w:hAnsi="Times New Roman" w:cs="Times New Roman"/>
          <w:color w:val="000000" w:themeColor="text1"/>
          <w:lang w:val="lv-LV"/>
        </w:rPr>
        <w:t xml:space="preserve"> diviem</w:t>
      </w:r>
      <w:r w:rsidRPr="007A55A2">
        <w:rPr>
          <w:rFonts w:ascii="Times New Roman" w:hAnsi="Times New Roman" w:cs="Times New Roman"/>
          <w:color w:val="000000" w:themeColor="text1"/>
          <w:lang w:val="lv-LV"/>
        </w:rPr>
        <w:t xml:space="preserve"> tiešo izmaksu veidiem:</w:t>
      </w:r>
    </w:p>
    <w:p w14:paraId="42A8516E" w14:textId="77777777" w:rsidR="007F668B" w:rsidRPr="007A55A2" w:rsidRDefault="007F668B" w:rsidP="00367B4E">
      <w:pPr>
        <w:pStyle w:val="ListParagraph"/>
        <w:numPr>
          <w:ilvl w:val="0"/>
          <w:numId w:val="10"/>
        </w:numPr>
        <w:ind w:left="1134"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atlīdzības izmaksām;</w:t>
      </w:r>
    </w:p>
    <w:p w14:paraId="4E48D023" w14:textId="5527836C" w:rsidR="007F668B" w:rsidRPr="007A55A2" w:rsidRDefault="007F668B" w:rsidP="00367B4E">
      <w:pPr>
        <w:pStyle w:val="ListParagraph"/>
        <w:numPr>
          <w:ilvl w:val="0"/>
          <w:numId w:val="10"/>
        </w:numPr>
        <w:ind w:left="1134" w:right="-7"/>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tiešajām izmaksām, izņemot ārējo pakalpojumu izmaksas.</w:t>
      </w:r>
    </w:p>
    <w:p w14:paraId="0FD40138" w14:textId="01930432" w:rsidR="00F646C5" w:rsidRPr="007A55A2" w:rsidRDefault="00F646C5" w:rsidP="00367B4E">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Zinātnisk</w:t>
      </w:r>
      <w:r w:rsidR="00B77B1A" w:rsidRPr="007A55A2">
        <w:rPr>
          <w:rFonts w:ascii="Times New Roman" w:hAnsi="Times New Roman" w:cs="Times New Roman"/>
          <w:color w:val="000000" w:themeColor="text1"/>
          <w:lang w:val="lv-LV"/>
        </w:rPr>
        <w:t>aj</w:t>
      </w:r>
      <w:r w:rsidRPr="007A55A2">
        <w:rPr>
          <w:rFonts w:ascii="Times New Roman" w:hAnsi="Times New Roman" w:cs="Times New Roman"/>
          <w:color w:val="000000" w:themeColor="text1"/>
          <w:lang w:val="lv-LV"/>
        </w:rPr>
        <w:t xml:space="preserve">ām institūcijām draudzīgāka un to administrācijām vēlamāka būtu tieši netiešo izmaksu aprēķina kārtība </w:t>
      </w:r>
      <w:r w:rsidR="00B77B1A" w:rsidRPr="007A55A2">
        <w:rPr>
          <w:rFonts w:ascii="Times New Roman" w:hAnsi="Times New Roman" w:cs="Times New Roman"/>
          <w:color w:val="000000" w:themeColor="text1"/>
          <w:lang w:val="lv-LV"/>
        </w:rPr>
        <w:t xml:space="preserve">no </w:t>
      </w:r>
      <w:r w:rsidRPr="007A55A2">
        <w:rPr>
          <w:rFonts w:ascii="Times New Roman" w:hAnsi="Times New Roman" w:cs="Times New Roman"/>
          <w:color w:val="000000" w:themeColor="text1"/>
          <w:lang w:val="lv-LV"/>
        </w:rPr>
        <w:t xml:space="preserve">tiešajām attiecināmajām izmaksām, izņemot ārējo pakalpojumu izmaksas. Netiešo izmaksu likmes noteikšana pret atlīdzības izmaksām būtu mazāk vēlama, jo tas neizdevīgā pozīcijā nostādītu projektus, kuros ir lielāks īpatsvars tieši citām tiešajām attiecināmajām izmaksām (izņemot ārējo pakalpojumu izmaksas, kas ir katram projektam specifiskas un līdz ar objektīvas izmaksas) un radītu interesi iesniedzējiem, arī administrācijas spiediena ietekmē, pēc iespējas palielināt atlīdzības izmaksu daļu. Tas arī varētu negatīvi ietekmēt atsevišķu VPP un FLPP projektu īstenošanas kvalitāti. </w:t>
      </w:r>
      <w:r w:rsidR="00A743DD" w:rsidRPr="007A55A2">
        <w:rPr>
          <w:rFonts w:ascii="Times New Roman" w:hAnsi="Times New Roman" w:cs="Times New Roman"/>
          <w:color w:val="000000" w:themeColor="text1"/>
          <w:lang w:val="lv-LV"/>
        </w:rPr>
        <w:t>Nav pamata uzskatīt, ka projektu, kuros ir paredzēts mazāk atalgojumam, bet vairāk nepieciešamas izmaksas inventāra, instrumentu un materiālu iegādei, amortizācijas izmaksas, pakalpojumiem, izmaksas, komandējumiem, publicēšanās izdevumiem</w:t>
      </w:r>
      <w:r w:rsidR="00367B4E" w:rsidRPr="007A55A2">
        <w:rPr>
          <w:rFonts w:ascii="Times New Roman" w:hAnsi="Times New Roman" w:cs="Times New Roman"/>
          <w:color w:val="000000" w:themeColor="text1"/>
          <w:lang w:val="lv-LV"/>
        </w:rPr>
        <w:t>,</w:t>
      </w:r>
      <w:r w:rsidR="00A743DD" w:rsidRPr="007A55A2">
        <w:rPr>
          <w:rFonts w:ascii="Times New Roman" w:hAnsi="Times New Roman" w:cs="Times New Roman"/>
          <w:color w:val="000000" w:themeColor="text1"/>
          <w:lang w:val="lv-LV"/>
        </w:rPr>
        <w:t xml:space="preserve"> īstenošanas nodrošināšana jeb “apkalpošana” zinātniskajām institūcijām prasa mazāk resursu</w:t>
      </w:r>
      <w:r w:rsidR="00C64F4D" w:rsidRPr="007A55A2">
        <w:rPr>
          <w:rFonts w:ascii="Times New Roman" w:hAnsi="Times New Roman" w:cs="Times New Roman"/>
          <w:color w:val="000000" w:themeColor="text1"/>
          <w:lang w:val="lv-LV"/>
        </w:rPr>
        <w:t xml:space="preserve"> un izdevumu</w:t>
      </w:r>
      <w:r w:rsidR="00ED0EF6" w:rsidRPr="007A55A2">
        <w:rPr>
          <w:rFonts w:ascii="Times New Roman" w:hAnsi="Times New Roman" w:cs="Times New Roman"/>
          <w:color w:val="000000" w:themeColor="text1"/>
          <w:lang w:val="lv-LV"/>
        </w:rPr>
        <w:t>, kas būtu sedzami no netiešajām izmaksām</w:t>
      </w:r>
      <w:r w:rsidR="00A743DD" w:rsidRPr="007A55A2">
        <w:rPr>
          <w:rFonts w:ascii="Times New Roman" w:hAnsi="Times New Roman" w:cs="Times New Roman"/>
          <w:color w:val="000000" w:themeColor="text1"/>
          <w:lang w:val="lv-LV"/>
        </w:rPr>
        <w:t xml:space="preserve">. </w:t>
      </w:r>
      <w:r w:rsidRPr="007A55A2">
        <w:rPr>
          <w:rFonts w:ascii="Times New Roman" w:hAnsi="Times New Roman" w:cs="Times New Roman"/>
          <w:color w:val="000000" w:themeColor="text1"/>
          <w:lang w:val="lv-LV"/>
        </w:rPr>
        <w:t>Netiešo izmaksu likmes noteikšana pret atlīdzības izmaksām būtu pieļaujama</w:t>
      </w:r>
      <w:r w:rsidR="00542862" w:rsidRPr="007A55A2">
        <w:rPr>
          <w:rFonts w:ascii="Times New Roman" w:hAnsi="Times New Roman" w:cs="Times New Roman"/>
          <w:color w:val="000000" w:themeColor="text1"/>
          <w:lang w:val="lv-LV"/>
        </w:rPr>
        <w:t xml:space="preserve"> kā atsevišķs izņēmums</w:t>
      </w:r>
      <w:r w:rsidRPr="007A55A2">
        <w:rPr>
          <w:rFonts w:ascii="Times New Roman" w:hAnsi="Times New Roman" w:cs="Times New Roman"/>
          <w:color w:val="000000" w:themeColor="text1"/>
          <w:lang w:val="lv-LV"/>
        </w:rPr>
        <w:t xml:space="preserve">, kad </w:t>
      </w:r>
      <w:r w:rsidR="00542862" w:rsidRPr="007A55A2">
        <w:rPr>
          <w:rFonts w:ascii="Times New Roman" w:hAnsi="Times New Roman" w:cs="Times New Roman"/>
          <w:color w:val="000000" w:themeColor="text1"/>
          <w:lang w:val="lv-LV"/>
        </w:rPr>
        <w:t xml:space="preserve">visi </w:t>
      </w:r>
      <w:r w:rsidRPr="007A55A2">
        <w:rPr>
          <w:rFonts w:ascii="Times New Roman" w:hAnsi="Times New Roman" w:cs="Times New Roman"/>
          <w:color w:val="000000" w:themeColor="text1"/>
          <w:lang w:val="lv-LV"/>
        </w:rPr>
        <w:t>programmas projekti ir ar salīdzinoši līdzīgu budžeta sadalījumu pa izmaksu veidiem un atlīdzības izmaksas veido galveno tiešo izmaksu daļu (virs 80%).</w:t>
      </w:r>
    </w:p>
    <w:p w14:paraId="50C19901" w14:textId="44556DBC" w:rsidR="00DF6BAE" w:rsidRPr="007A55A2" w:rsidRDefault="00465BE7" w:rsidP="00367B4E">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Būtu vēlams pāriet uz netiešo izmaksu</w:t>
      </w:r>
      <w:r w:rsidR="004D2706" w:rsidRPr="007A55A2">
        <w:rPr>
          <w:rFonts w:ascii="Times New Roman" w:hAnsi="Times New Roman" w:cs="Times New Roman"/>
          <w:color w:val="000000" w:themeColor="text1"/>
          <w:lang w:val="lv-LV"/>
        </w:rPr>
        <w:t xml:space="preserve"> likmes formulējumu </w:t>
      </w:r>
      <w:r w:rsidR="00542862" w:rsidRPr="007A55A2">
        <w:rPr>
          <w:rFonts w:ascii="Times New Roman" w:hAnsi="Times New Roman" w:cs="Times New Roman"/>
          <w:color w:val="000000" w:themeColor="text1"/>
          <w:lang w:val="lv-LV"/>
        </w:rPr>
        <w:t>nosakot tās, kā</w:t>
      </w:r>
      <w:r w:rsidR="0059116D" w:rsidRPr="007A55A2">
        <w:rPr>
          <w:rFonts w:ascii="Times New Roman" w:hAnsi="Times New Roman" w:cs="Times New Roman"/>
          <w:color w:val="000000" w:themeColor="text1"/>
          <w:lang w:val="lv-LV"/>
        </w:rPr>
        <w:t xml:space="preserve"> </w:t>
      </w:r>
      <w:r w:rsidR="00542862" w:rsidRPr="007A55A2">
        <w:rPr>
          <w:rFonts w:ascii="Times New Roman" w:hAnsi="Times New Roman" w:cs="Times New Roman"/>
          <w:color w:val="000000" w:themeColor="text1"/>
          <w:lang w:val="lv-LV"/>
        </w:rPr>
        <w:t xml:space="preserve">noteiktu </w:t>
      </w:r>
      <w:r w:rsidR="0059116D" w:rsidRPr="007A55A2">
        <w:rPr>
          <w:rFonts w:ascii="Times New Roman" w:hAnsi="Times New Roman" w:cs="Times New Roman"/>
          <w:color w:val="000000" w:themeColor="text1"/>
          <w:lang w:val="lv-LV"/>
        </w:rPr>
        <w:t xml:space="preserve">maksimālo </w:t>
      </w:r>
      <w:r w:rsidR="00542862" w:rsidRPr="007A55A2">
        <w:rPr>
          <w:rFonts w:ascii="Times New Roman" w:hAnsi="Times New Roman" w:cs="Times New Roman"/>
          <w:color w:val="000000" w:themeColor="text1"/>
          <w:lang w:val="lv-LV"/>
        </w:rPr>
        <w:t xml:space="preserve">(līdz) </w:t>
      </w:r>
      <w:r w:rsidR="00B77B1A" w:rsidRPr="007A55A2">
        <w:rPr>
          <w:rFonts w:ascii="Times New Roman" w:hAnsi="Times New Roman" w:cs="Times New Roman"/>
          <w:color w:val="000000" w:themeColor="text1"/>
          <w:lang w:val="lv-LV"/>
        </w:rPr>
        <w:t xml:space="preserve">procentu </w:t>
      </w:r>
      <w:r w:rsidR="0059116D" w:rsidRPr="007A55A2">
        <w:rPr>
          <w:rFonts w:ascii="Times New Roman" w:hAnsi="Times New Roman" w:cs="Times New Roman"/>
          <w:color w:val="000000" w:themeColor="text1"/>
          <w:lang w:val="lv-LV"/>
        </w:rPr>
        <w:t xml:space="preserve">likmi </w:t>
      </w:r>
      <w:r w:rsidR="008D390A" w:rsidRPr="007A55A2">
        <w:rPr>
          <w:rFonts w:ascii="Times New Roman" w:hAnsi="Times New Roman" w:cs="Times New Roman"/>
          <w:color w:val="000000" w:themeColor="text1"/>
          <w:lang w:val="lv-LV"/>
        </w:rPr>
        <w:t xml:space="preserve">no </w:t>
      </w:r>
      <w:r w:rsidR="00542862" w:rsidRPr="007A55A2">
        <w:rPr>
          <w:rFonts w:ascii="Times New Roman" w:hAnsi="Times New Roman" w:cs="Times New Roman"/>
          <w:color w:val="000000" w:themeColor="text1"/>
          <w:lang w:val="lv-LV"/>
        </w:rPr>
        <w:t xml:space="preserve">izvēlētās tiešo </w:t>
      </w:r>
      <w:r w:rsidR="008D390A" w:rsidRPr="007A55A2">
        <w:rPr>
          <w:rFonts w:ascii="Times New Roman" w:hAnsi="Times New Roman" w:cs="Times New Roman"/>
          <w:color w:val="000000" w:themeColor="text1"/>
          <w:lang w:val="lv-LV"/>
        </w:rPr>
        <w:t>izmaksu kopsummas</w:t>
      </w:r>
      <w:r w:rsidR="007A7779" w:rsidRPr="007A55A2">
        <w:rPr>
          <w:rFonts w:ascii="Times New Roman" w:hAnsi="Times New Roman" w:cs="Times New Roman"/>
          <w:color w:val="000000" w:themeColor="text1"/>
          <w:lang w:val="lv-LV"/>
        </w:rPr>
        <w:t xml:space="preserve">. </w:t>
      </w:r>
      <w:r w:rsidR="005B3466" w:rsidRPr="007A55A2">
        <w:rPr>
          <w:rFonts w:ascii="Times New Roman" w:hAnsi="Times New Roman" w:cs="Times New Roman"/>
          <w:color w:val="000000" w:themeColor="text1"/>
          <w:lang w:val="lv-LV"/>
        </w:rPr>
        <w:t>T</w:t>
      </w:r>
      <w:r w:rsidR="00C92F74" w:rsidRPr="007A55A2">
        <w:rPr>
          <w:rFonts w:ascii="Times New Roman" w:hAnsi="Times New Roman" w:cs="Times New Roman"/>
          <w:color w:val="000000" w:themeColor="text1"/>
          <w:lang w:val="lv-LV"/>
        </w:rPr>
        <w:t>as</w:t>
      </w:r>
      <w:r w:rsidR="00E308FB" w:rsidRPr="007A55A2">
        <w:rPr>
          <w:rFonts w:ascii="Times New Roman" w:hAnsi="Times New Roman" w:cs="Times New Roman"/>
          <w:color w:val="000000" w:themeColor="text1"/>
          <w:lang w:val="lv-LV"/>
        </w:rPr>
        <w:t xml:space="preserve"> atļautu pašiem iesniedzējiem</w:t>
      </w:r>
      <w:r w:rsidR="00857287" w:rsidRPr="007A55A2">
        <w:rPr>
          <w:rFonts w:ascii="Times New Roman" w:hAnsi="Times New Roman" w:cs="Times New Roman"/>
          <w:color w:val="000000" w:themeColor="text1"/>
          <w:lang w:val="lv-LV"/>
        </w:rPr>
        <w:t xml:space="preserve">, </w:t>
      </w:r>
      <w:r w:rsidR="003B30A9" w:rsidRPr="007A55A2">
        <w:rPr>
          <w:rFonts w:ascii="Times New Roman" w:hAnsi="Times New Roman" w:cs="Times New Roman"/>
          <w:color w:val="000000" w:themeColor="text1"/>
          <w:lang w:val="lv-LV"/>
        </w:rPr>
        <w:t>zinot konkrētos apstākļus un iespējas</w:t>
      </w:r>
      <w:r w:rsidR="009A1B9B" w:rsidRPr="007A55A2">
        <w:rPr>
          <w:rFonts w:ascii="Times New Roman" w:hAnsi="Times New Roman" w:cs="Times New Roman"/>
          <w:color w:val="000000" w:themeColor="text1"/>
          <w:lang w:val="lv-LV"/>
        </w:rPr>
        <w:t xml:space="preserve"> katra VPP</w:t>
      </w:r>
      <w:r w:rsidR="00542862" w:rsidRPr="007A55A2">
        <w:rPr>
          <w:rFonts w:ascii="Times New Roman" w:hAnsi="Times New Roman" w:cs="Times New Roman"/>
          <w:color w:val="000000" w:themeColor="text1"/>
          <w:lang w:val="lv-LV"/>
        </w:rPr>
        <w:t xml:space="preserve">, </w:t>
      </w:r>
      <w:r w:rsidR="00BB2C6F" w:rsidRPr="007A55A2">
        <w:rPr>
          <w:rFonts w:ascii="Times New Roman" w:hAnsi="Times New Roman" w:cs="Times New Roman"/>
          <w:color w:val="000000" w:themeColor="text1"/>
          <w:lang w:val="lv-LV"/>
        </w:rPr>
        <w:t xml:space="preserve">FLPP </w:t>
      </w:r>
      <w:r w:rsidR="00542862" w:rsidRPr="007A55A2">
        <w:rPr>
          <w:rFonts w:ascii="Times New Roman" w:hAnsi="Times New Roman" w:cs="Times New Roman"/>
          <w:color w:val="000000" w:themeColor="text1"/>
          <w:lang w:val="lv-LV"/>
        </w:rPr>
        <w:t xml:space="preserve">vai cita veida </w:t>
      </w:r>
      <w:r w:rsidR="009A1B9B" w:rsidRPr="007A55A2">
        <w:rPr>
          <w:rFonts w:ascii="Times New Roman" w:hAnsi="Times New Roman" w:cs="Times New Roman"/>
          <w:color w:val="000000" w:themeColor="text1"/>
          <w:lang w:val="lv-LV"/>
        </w:rPr>
        <w:t>projekta īstenošanai</w:t>
      </w:r>
      <w:r w:rsidR="00C676F4" w:rsidRPr="007A55A2">
        <w:rPr>
          <w:rFonts w:ascii="Times New Roman" w:hAnsi="Times New Roman" w:cs="Times New Roman"/>
          <w:color w:val="000000" w:themeColor="text1"/>
          <w:lang w:val="lv-LV"/>
        </w:rPr>
        <w:t>,</w:t>
      </w:r>
      <w:r w:rsidR="009A1B9B" w:rsidRPr="007A55A2">
        <w:rPr>
          <w:rFonts w:ascii="Times New Roman" w:hAnsi="Times New Roman" w:cs="Times New Roman"/>
          <w:color w:val="000000" w:themeColor="text1"/>
          <w:lang w:val="lv-LV"/>
        </w:rPr>
        <w:t xml:space="preserve"> sabalansēt starp </w:t>
      </w:r>
      <w:r w:rsidR="00D053CF" w:rsidRPr="007A55A2">
        <w:rPr>
          <w:rFonts w:ascii="Times New Roman" w:hAnsi="Times New Roman" w:cs="Times New Roman"/>
          <w:color w:val="000000" w:themeColor="text1"/>
          <w:lang w:val="lv-LV"/>
        </w:rPr>
        <w:t xml:space="preserve">zinātniskās grupas locekļu atlīdzības izmaksām, citām </w:t>
      </w:r>
      <w:r w:rsidR="009A1B9B" w:rsidRPr="007A55A2">
        <w:rPr>
          <w:rFonts w:ascii="Times New Roman" w:hAnsi="Times New Roman" w:cs="Times New Roman"/>
          <w:color w:val="000000" w:themeColor="text1"/>
          <w:lang w:val="lv-LV"/>
        </w:rPr>
        <w:t>tiešajām</w:t>
      </w:r>
      <w:r w:rsidR="00D053CF" w:rsidRPr="007A55A2">
        <w:rPr>
          <w:rFonts w:ascii="Times New Roman" w:hAnsi="Times New Roman" w:cs="Times New Roman"/>
          <w:color w:val="000000" w:themeColor="text1"/>
          <w:lang w:val="lv-LV"/>
        </w:rPr>
        <w:t xml:space="preserve"> </w:t>
      </w:r>
      <w:r w:rsidR="00BB2C6F" w:rsidRPr="007A55A2">
        <w:rPr>
          <w:rFonts w:ascii="Times New Roman" w:hAnsi="Times New Roman" w:cs="Times New Roman"/>
          <w:color w:val="000000" w:themeColor="text1"/>
          <w:lang w:val="lv-LV"/>
        </w:rPr>
        <w:t>un ne</w:t>
      </w:r>
      <w:r w:rsidR="009A1B9B" w:rsidRPr="007A55A2">
        <w:rPr>
          <w:rFonts w:ascii="Times New Roman" w:hAnsi="Times New Roman" w:cs="Times New Roman"/>
          <w:color w:val="000000" w:themeColor="text1"/>
          <w:lang w:val="lv-LV"/>
        </w:rPr>
        <w:t>tiešajām izmaksām</w:t>
      </w:r>
      <w:r w:rsidR="000725F1" w:rsidRPr="007A55A2">
        <w:rPr>
          <w:rFonts w:ascii="Times New Roman" w:hAnsi="Times New Roman" w:cs="Times New Roman"/>
          <w:color w:val="000000" w:themeColor="text1"/>
          <w:lang w:val="lv-LV"/>
        </w:rPr>
        <w:t>,</w:t>
      </w:r>
      <w:r w:rsidR="009A1B9B" w:rsidRPr="007A55A2">
        <w:rPr>
          <w:rFonts w:ascii="Times New Roman" w:hAnsi="Times New Roman" w:cs="Times New Roman"/>
          <w:color w:val="000000" w:themeColor="text1"/>
          <w:lang w:val="lv-LV"/>
        </w:rPr>
        <w:t xml:space="preserve"> nep</w:t>
      </w:r>
      <w:r w:rsidR="00742712" w:rsidRPr="007A55A2">
        <w:rPr>
          <w:rFonts w:ascii="Times New Roman" w:hAnsi="Times New Roman" w:cs="Times New Roman"/>
          <w:color w:val="000000" w:themeColor="text1"/>
          <w:lang w:val="lv-LV"/>
        </w:rPr>
        <w:t>ā</w:t>
      </w:r>
      <w:r w:rsidR="009A1B9B" w:rsidRPr="007A55A2">
        <w:rPr>
          <w:rFonts w:ascii="Times New Roman" w:hAnsi="Times New Roman" w:cs="Times New Roman"/>
          <w:color w:val="000000" w:themeColor="text1"/>
          <w:lang w:val="lv-LV"/>
        </w:rPr>
        <w:t xml:space="preserve">rkāpjot paredzēto netiešo </w:t>
      </w:r>
      <w:r w:rsidR="00090C55" w:rsidRPr="007A55A2">
        <w:rPr>
          <w:rFonts w:ascii="Times New Roman" w:hAnsi="Times New Roman" w:cs="Times New Roman"/>
          <w:color w:val="000000" w:themeColor="text1"/>
          <w:lang w:val="lv-LV"/>
        </w:rPr>
        <w:t>izmaksu</w:t>
      </w:r>
      <w:r w:rsidR="009A1B9B" w:rsidRPr="007A55A2">
        <w:rPr>
          <w:rFonts w:ascii="Times New Roman" w:hAnsi="Times New Roman" w:cs="Times New Roman"/>
          <w:color w:val="000000" w:themeColor="text1"/>
          <w:lang w:val="lv-LV"/>
        </w:rPr>
        <w:t xml:space="preserve"> maksimālo likmi.</w:t>
      </w:r>
      <w:r w:rsidR="00C676F4" w:rsidRPr="007A55A2">
        <w:rPr>
          <w:rFonts w:ascii="Times New Roman" w:hAnsi="Times New Roman" w:cs="Times New Roman"/>
          <w:color w:val="000000" w:themeColor="text1"/>
          <w:lang w:val="lv-LV"/>
        </w:rPr>
        <w:t xml:space="preserve"> </w:t>
      </w:r>
    </w:p>
    <w:p w14:paraId="7FEC06F5" w14:textId="27DB3D2F" w:rsidR="00542862" w:rsidRPr="007A55A2" w:rsidRDefault="00542862" w:rsidP="00367B4E">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Nosakot dažādu veidu pētniecības projektiem, </w:t>
      </w:r>
      <w:r w:rsidR="00B77B1A" w:rsidRPr="007A55A2">
        <w:rPr>
          <w:rFonts w:ascii="Times New Roman" w:hAnsi="Times New Roman" w:cs="Times New Roman"/>
          <w:color w:val="000000" w:themeColor="text1"/>
          <w:lang w:val="lv-LV"/>
        </w:rPr>
        <w:t xml:space="preserve">vai </w:t>
      </w:r>
      <w:r w:rsidRPr="007A55A2">
        <w:rPr>
          <w:rFonts w:ascii="Times New Roman" w:hAnsi="Times New Roman" w:cs="Times New Roman"/>
          <w:color w:val="000000" w:themeColor="text1"/>
          <w:lang w:val="lv-LV"/>
        </w:rPr>
        <w:t>vismaz VPP un FLPP, vienādu netiešo izmaksu aprēķina kārtību un vienādu maksimālo pieļaujamo likmi</w:t>
      </w:r>
      <w:r w:rsidR="00D40D66" w:rsidRPr="007A55A2">
        <w:rPr>
          <w:rFonts w:ascii="Times New Roman" w:hAnsi="Times New Roman" w:cs="Times New Roman"/>
          <w:color w:val="000000" w:themeColor="text1"/>
          <w:lang w:val="lv-LV"/>
        </w:rPr>
        <w:t>,</w:t>
      </w:r>
      <w:r w:rsidRPr="007A55A2">
        <w:rPr>
          <w:rFonts w:ascii="Times New Roman" w:hAnsi="Times New Roman" w:cs="Times New Roman"/>
          <w:color w:val="000000" w:themeColor="text1"/>
          <w:lang w:val="lv-LV"/>
        </w:rPr>
        <w:t xml:space="preserve"> tie būtu vieglāk administrējami, to īstenošana būtu vieglāk plānojama, </w:t>
      </w:r>
      <w:r w:rsidR="00B77B1A" w:rsidRPr="007A55A2">
        <w:rPr>
          <w:rFonts w:ascii="Times New Roman" w:hAnsi="Times New Roman" w:cs="Times New Roman"/>
          <w:color w:val="000000" w:themeColor="text1"/>
          <w:lang w:val="lv-LV"/>
        </w:rPr>
        <w:t xml:space="preserve">un </w:t>
      </w:r>
      <w:r w:rsidRPr="007A55A2">
        <w:rPr>
          <w:rFonts w:ascii="Times New Roman" w:hAnsi="Times New Roman" w:cs="Times New Roman"/>
          <w:color w:val="000000" w:themeColor="text1"/>
          <w:lang w:val="lv-LV"/>
        </w:rPr>
        <w:t xml:space="preserve">institūcijām </w:t>
      </w:r>
      <w:r w:rsidR="00B77B1A" w:rsidRPr="007A55A2">
        <w:rPr>
          <w:rFonts w:ascii="Times New Roman" w:hAnsi="Times New Roman" w:cs="Times New Roman"/>
          <w:color w:val="000000" w:themeColor="text1"/>
          <w:lang w:val="lv-LV"/>
        </w:rPr>
        <w:t xml:space="preserve">nebūtu </w:t>
      </w:r>
      <w:r w:rsidRPr="007A55A2">
        <w:rPr>
          <w:rFonts w:ascii="Times New Roman" w:hAnsi="Times New Roman" w:cs="Times New Roman"/>
          <w:color w:val="000000" w:themeColor="text1"/>
          <w:lang w:val="lv-LV"/>
        </w:rPr>
        <w:t xml:space="preserve">vairāk </w:t>
      </w:r>
      <w:r w:rsidR="00B77B1A" w:rsidRPr="007A55A2">
        <w:rPr>
          <w:rFonts w:ascii="Times New Roman" w:hAnsi="Times New Roman" w:cs="Times New Roman"/>
          <w:color w:val="000000" w:themeColor="text1"/>
          <w:lang w:val="lv-LV"/>
        </w:rPr>
        <w:t xml:space="preserve">vai </w:t>
      </w:r>
      <w:r w:rsidRPr="007A55A2">
        <w:rPr>
          <w:rFonts w:ascii="Times New Roman" w:hAnsi="Times New Roman" w:cs="Times New Roman"/>
          <w:color w:val="000000" w:themeColor="text1"/>
          <w:lang w:val="lv-LV"/>
        </w:rPr>
        <w:t>mazāk vēlamu projektu veidu.</w:t>
      </w:r>
    </w:p>
    <w:p w14:paraId="136A33BF" w14:textId="2904CAAD" w:rsidR="001F0053" w:rsidRPr="007A55A2" w:rsidRDefault="00F772D0" w:rsidP="00367B4E">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Izšķiršanās starp 10%, 15%</w:t>
      </w:r>
      <w:r w:rsidR="006C4A06" w:rsidRPr="007A55A2">
        <w:rPr>
          <w:rFonts w:ascii="Times New Roman" w:hAnsi="Times New Roman" w:cs="Times New Roman"/>
          <w:color w:val="000000" w:themeColor="text1"/>
          <w:lang w:val="lv-LV"/>
        </w:rPr>
        <w:t xml:space="preserve">, </w:t>
      </w:r>
      <w:r w:rsidRPr="007A55A2">
        <w:rPr>
          <w:rFonts w:ascii="Times New Roman" w:hAnsi="Times New Roman" w:cs="Times New Roman"/>
          <w:color w:val="000000" w:themeColor="text1"/>
          <w:lang w:val="lv-LV"/>
        </w:rPr>
        <w:t>25%</w:t>
      </w:r>
      <w:r w:rsidR="000B5CF1" w:rsidRPr="007A55A2">
        <w:rPr>
          <w:rFonts w:ascii="Times New Roman" w:hAnsi="Times New Roman" w:cs="Times New Roman"/>
          <w:color w:val="000000" w:themeColor="text1"/>
          <w:lang w:val="lv-LV"/>
        </w:rPr>
        <w:t xml:space="preserve"> </w:t>
      </w:r>
      <w:r w:rsidR="006C4A06" w:rsidRPr="007A55A2">
        <w:rPr>
          <w:rFonts w:ascii="Times New Roman" w:hAnsi="Times New Roman" w:cs="Times New Roman"/>
          <w:color w:val="000000" w:themeColor="text1"/>
          <w:lang w:val="lv-LV"/>
        </w:rPr>
        <w:t>vai cit</w:t>
      </w:r>
      <w:r w:rsidR="00120668" w:rsidRPr="007A55A2">
        <w:rPr>
          <w:rFonts w:ascii="Times New Roman" w:hAnsi="Times New Roman" w:cs="Times New Roman"/>
          <w:color w:val="000000" w:themeColor="text1"/>
          <w:lang w:val="lv-LV"/>
        </w:rPr>
        <w:t>u</w:t>
      </w:r>
      <w:r w:rsidR="006C4A06" w:rsidRPr="007A55A2">
        <w:rPr>
          <w:rFonts w:ascii="Times New Roman" w:hAnsi="Times New Roman" w:cs="Times New Roman"/>
          <w:color w:val="000000" w:themeColor="text1"/>
          <w:lang w:val="lv-LV"/>
        </w:rPr>
        <w:t xml:space="preserve"> </w:t>
      </w:r>
      <w:r w:rsidR="000B5CF1" w:rsidRPr="007A55A2">
        <w:rPr>
          <w:rFonts w:ascii="Times New Roman" w:hAnsi="Times New Roman" w:cs="Times New Roman"/>
          <w:color w:val="000000" w:themeColor="text1"/>
          <w:lang w:val="lv-LV"/>
        </w:rPr>
        <w:t>netiešo izmaksu</w:t>
      </w:r>
      <w:r w:rsidRPr="007A55A2">
        <w:rPr>
          <w:rFonts w:ascii="Times New Roman" w:hAnsi="Times New Roman" w:cs="Times New Roman"/>
          <w:color w:val="000000" w:themeColor="text1"/>
          <w:lang w:val="lv-LV"/>
        </w:rPr>
        <w:t xml:space="preserve"> </w:t>
      </w:r>
      <w:r w:rsidR="000B5CF1" w:rsidRPr="007A55A2">
        <w:rPr>
          <w:rFonts w:ascii="Times New Roman" w:hAnsi="Times New Roman" w:cs="Times New Roman"/>
          <w:color w:val="000000" w:themeColor="text1"/>
          <w:lang w:val="lv-LV"/>
        </w:rPr>
        <w:t>likm</w:t>
      </w:r>
      <w:r w:rsidR="000725F1" w:rsidRPr="007A55A2">
        <w:rPr>
          <w:rFonts w:ascii="Times New Roman" w:hAnsi="Times New Roman" w:cs="Times New Roman"/>
          <w:color w:val="000000" w:themeColor="text1"/>
          <w:lang w:val="lv-LV"/>
        </w:rPr>
        <w:t>i</w:t>
      </w:r>
      <w:r w:rsidR="000B5CF1" w:rsidRPr="007A55A2">
        <w:rPr>
          <w:rFonts w:ascii="Times New Roman" w:hAnsi="Times New Roman" w:cs="Times New Roman"/>
          <w:color w:val="000000" w:themeColor="text1"/>
          <w:lang w:val="lv-LV"/>
        </w:rPr>
        <w:t xml:space="preserve"> </w:t>
      </w:r>
      <w:r w:rsidR="009622A5" w:rsidRPr="007A55A2">
        <w:rPr>
          <w:rFonts w:ascii="Times New Roman" w:hAnsi="Times New Roman" w:cs="Times New Roman"/>
          <w:color w:val="000000" w:themeColor="text1"/>
          <w:lang w:val="lv-LV"/>
        </w:rPr>
        <w:t>no</w:t>
      </w:r>
      <w:r w:rsidR="00ED28DB" w:rsidRPr="007A55A2">
        <w:rPr>
          <w:rFonts w:ascii="Times New Roman" w:hAnsi="Times New Roman" w:cs="Times New Roman"/>
          <w:color w:val="000000" w:themeColor="text1"/>
          <w:lang w:val="lv-LV"/>
        </w:rPr>
        <w:t xml:space="preserve"> tiešajām izmaksām </w:t>
      </w:r>
      <w:r w:rsidR="00BB2C6F" w:rsidRPr="007A55A2">
        <w:rPr>
          <w:rFonts w:ascii="Times New Roman" w:hAnsi="Times New Roman" w:cs="Times New Roman"/>
          <w:color w:val="000000" w:themeColor="text1"/>
          <w:lang w:val="lv-LV"/>
        </w:rPr>
        <w:t xml:space="preserve">vai atlīdzības izmaksām </w:t>
      </w:r>
      <w:r w:rsidR="00B77B1A" w:rsidRPr="007A55A2">
        <w:rPr>
          <w:rFonts w:ascii="Times New Roman" w:hAnsi="Times New Roman" w:cs="Times New Roman"/>
          <w:color w:val="000000" w:themeColor="text1"/>
          <w:lang w:val="lv-LV"/>
        </w:rPr>
        <w:t xml:space="preserve">drīzāk </w:t>
      </w:r>
      <w:r w:rsidR="000B5CF1" w:rsidRPr="007A55A2">
        <w:rPr>
          <w:rFonts w:ascii="Times New Roman" w:hAnsi="Times New Roman" w:cs="Times New Roman"/>
          <w:color w:val="000000" w:themeColor="text1"/>
          <w:lang w:val="lv-LV"/>
        </w:rPr>
        <w:t>ir nozares politikas</w:t>
      </w:r>
      <w:r w:rsidR="00DB7B62" w:rsidRPr="007A55A2">
        <w:rPr>
          <w:rFonts w:ascii="Times New Roman" w:hAnsi="Times New Roman" w:cs="Times New Roman"/>
          <w:color w:val="000000" w:themeColor="text1"/>
          <w:lang w:val="lv-LV"/>
        </w:rPr>
        <w:t xml:space="preserve"> </w:t>
      </w:r>
      <w:r w:rsidR="00440C17" w:rsidRPr="007A55A2">
        <w:rPr>
          <w:rFonts w:ascii="Times New Roman" w:hAnsi="Times New Roman" w:cs="Times New Roman"/>
          <w:color w:val="000000" w:themeColor="text1"/>
          <w:lang w:val="lv-LV"/>
        </w:rPr>
        <w:t>izšķiršanās</w:t>
      </w:r>
      <w:r w:rsidR="004162F6" w:rsidRPr="007A55A2">
        <w:rPr>
          <w:rFonts w:ascii="Times New Roman" w:hAnsi="Times New Roman" w:cs="Times New Roman"/>
          <w:color w:val="000000" w:themeColor="text1"/>
          <w:lang w:val="lv-LV"/>
        </w:rPr>
        <w:t xml:space="preserve"> par resursu pārdali starp tieši ar pētniecī</w:t>
      </w:r>
      <w:r w:rsidR="0017572F" w:rsidRPr="007A55A2">
        <w:rPr>
          <w:rFonts w:ascii="Times New Roman" w:hAnsi="Times New Roman" w:cs="Times New Roman"/>
          <w:color w:val="000000" w:themeColor="text1"/>
          <w:lang w:val="lv-LV"/>
        </w:rPr>
        <w:t>bu saistītiem izdevumiem</w:t>
      </w:r>
      <w:r w:rsidR="00494706" w:rsidRPr="007A55A2">
        <w:rPr>
          <w:rFonts w:ascii="Times New Roman" w:hAnsi="Times New Roman" w:cs="Times New Roman"/>
          <w:color w:val="000000" w:themeColor="text1"/>
          <w:lang w:val="lv-LV"/>
        </w:rPr>
        <w:t xml:space="preserve"> un šo </w:t>
      </w:r>
      <w:r w:rsidR="001F0053" w:rsidRPr="007A55A2">
        <w:rPr>
          <w:rFonts w:ascii="Times New Roman" w:hAnsi="Times New Roman" w:cs="Times New Roman"/>
          <w:color w:val="000000" w:themeColor="text1"/>
          <w:lang w:val="lv-LV"/>
        </w:rPr>
        <w:t>pētniecību apkalpojošām aktivitātēm</w:t>
      </w:r>
      <w:r w:rsidR="009622A5" w:rsidRPr="007A55A2">
        <w:rPr>
          <w:rFonts w:ascii="Times New Roman" w:hAnsi="Times New Roman" w:cs="Times New Roman"/>
          <w:color w:val="000000" w:themeColor="text1"/>
          <w:lang w:val="lv-LV"/>
        </w:rPr>
        <w:t>, tai skaitā zinātnisko institūciju kapacitātes celšan</w:t>
      </w:r>
      <w:r w:rsidR="00F6730E" w:rsidRPr="007A55A2">
        <w:rPr>
          <w:rFonts w:ascii="Times New Roman" w:hAnsi="Times New Roman" w:cs="Times New Roman"/>
          <w:color w:val="000000" w:themeColor="text1"/>
          <w:lang w:val="lv-LV"/>
        </w:rPr>
        <w:t>u</w:t>
      </w:r>
      <w:r w:rsidR="009622A5" w:rsidRPr="007A55A2">
        <w:rPr>
          <w:rFonts w:ascii="Times New Roman" w:hAnsi="Times New Roman" w:cs="Times New Roman"/>
          <w:color w:val="000000" w:themeColor="text1"/>
          <w:lang w:val="lv-LV"/>
        </w:rPr>
        <w:t xml:space="preserve">. Izprotama ir </w:t>
      </w:r>
      <w:r w:rsidR="00BE1E5B" w:rsidRPr="007A55A2">
        <w:rPr>
          <w:rFonts w:ascii="Times New Roman" w:hAnsi="Times New Roman" w:cs="Times New Roman"/>
          <w:color w:val="000000" w:themeColor="text1"/>
          <w:lang w:val="lv-LV"/>
        </w:rPr>
        <w:t>zemāk</w:t>
      </w:r>
      <w:r w:rsidR="00F30861" w:rsidRPr="007A55A2">
        <w:rPr>
          <w:rFonts w:ascii="Times New Roman" w:hAnsi="Times New Roman" w:cs="Times New Roman"/>
          <w:color w:val="000000" w:themeColor="text1"/>
          <w:lang w:val="lv-LV"/>
        </w:rPr>
        <w:t>a</w:t>
      </w:r>
      <w:r w:rsidR="00BE1E5B" w:rsidRPr="007A55A2">
        <w:rPr>
          <w:rFonts w:ascii="Times New Roman" w:hAnsi="Times New Roman" w:cs="Times New Roman"/>
          <w:color w:val="000000" w:themeColor="text1"/>
          <w:lang w:val="lv-LV"/>
        </w:rPr>
        <w:t>s likmes noteikšana apstākļos</w:t>
      </w:r>
      <w:r w:rsidR="00F30861" w:rsidRPr="007A55A2">
        <w:rPr>
          <w:rFonts w:ascii="Times New Roman" w:hAnsi="Times New Roman" w:cs="Times New Roman"/>
          <w:color w:val="000000" w:themeColor="text1"/>
          <w:lang w:val="lv-LV"/>
        </w:rPr>
        <w:t>,</w:t>
      </w:r>
      <w:r w:rsidR="00BE1E5B" w:rsidRPr="007A55A2">
        <w:rPr>
          <w:rFonts w:ascii="Times New Roman" w:hAnsi="Times New Roman" w:cs="Times New Roman"/>
          <w:color w:val="000000" w:themeColor="text1"/>
          <w:lang w:val="lv-LV"/>
        </w:rPr>
        <w:t xml:space="preserve"> kad pētniecībā tiek ieguldīts </w:t>
      </w:r>
      <w:r w:rsidR="00EA1B27" w:rsidRPr="007A55A2">
        <w:rPr>
          <w:rFonts w:ascii="Times New Roman" w:hAnsi="Times New Roman" w:cs="Times New Roman"/>
          <w:color w:val="000000" w:themeColor="text1"/>
          <w:lang w:val="lv-LV"/>
        </w:rPr>
        <w:t xml:space="preserve">un ir pieejams </w:t>
      </w:r>
      <w:r w:rsidR="00BE1E5B" w:rsidRPr="007A55A2">
        <w:rPr>
          <w:rFonts w:ascii="Times New Roman" w:hAnsi="Times New Roman" w:cs="Times New Roman"/>
          <w:color w:val="000000" w:themeColor="text1"/>
          <w:lang w:val="lv-LV"/>
        </w:rPr>
        <w:t xml:space="preserve">ierobežots </w:t>
      </w:r>
      <w:r w:rsidR="00F30861" w:rsidRPr="007A55A2">
        <w:rPr>
          <w:rFonts w:ascii="Times New Roman" w:hAnsi="Times New Roman" w:cs="Times New Roman"/>
          <w:color w:val="000000" w:themeColor="text1"/>
          <w:lang w:val="lv-LV"/>
        </w:rPr>
        <w:t>finan</w:t>
      </w:r>
      <w:r w:rsidR="00EA1B27" w:rsidRPr="007A55A2">
        <w:rPr>
          <w:rFonts w:ascii="Times New Roman" w:hAnsi="Times New Roman" w:cs="Times New Roman"/>
          <w:color w:val="000000" w:themeColor="text1"/>
          <w:lang w:val="lv-LV"/>
        </w:rPr>
        <w:t>sējums</w:t>
      </w:r>
      <w:r w:rsidR="00F6730E" w:rsidRPr="007A55A2">
        <w:rPr>
          <w:rFonts w:ascii="Times New Roman" w:hAnsi="Times New Roman" w:cs="Times New Roman"/>
          <w:color w:val="000000" w:themeColor="text1"/>
          <w:lang w:val="lv-LV"/>
        </w:rPr>
        <w:t>. Tomēr</w:t>
      </w:r>
      <w:r w:rsidR="00B77B1A" w:rsidRPr="007A55A2">
        <w:rPr>
          <w:rFonts w:ascii="Times New Roman" w:hAnsi="Times New Roman" w:cs="Times New Roman"/>
          <w:color w:val="000000" w:themeColor="text1"/>
          <w:lang w:val="lv-LV"/>
        </w:rPr>
        <w:t>,</w:t>
      </w:r>
      <w:r w:rsidR="00F30861" w:rsidRPr="007A55A2">
        <w:rPr>
          <w:rFonts w:ascii="Times New Roman" w:hAnsi="Times New Roman" w:cs="Times New Roman"/>
          <w:color w:val="000000" w:themeColor="text1"/>
          <w:lang w:val="lv-LV"/>
        </w:rPr>
        <w:t xml:space="preserve"> </w:t>
      </w:r>
      <w:r w:rsidR="00973D4A" w:rsidRPr="007A55A2">
        <w:rPr>
          <w:rFonts w:ascii="Times New Roman" w:hAnsi="Times New Roman" w:cs="Times New Roman"/>
          <w:color w:val="000000" w:themeColor="text1"/>
          <w:lang w:val="lv-LV"/>
        </w:rPr>
        <w:t xml:space="preserve">starptautiskās </w:t>
      </w:r>
      <w:r w:rsidR="00973D4A" w:rsidRPr="007A55A2">
        <w:rPr>
          <w:rFonts w:ascii="Times New Roman" w:hAnsi="Times New Roman" w:cs="Times New Roman"/>
          <w:color w:val="000000" w:themeColor="text1"/>
          <w:lang w:val="lv-LV"/>
        </w:rPr>
        <w:lastRenderedPageBreak/>
        <w:t xml:space="preserve">sadarbības projektos </w:t>
      </w:r>
      <w:r w:rsidR="00F6730E" w:rsidRPr="007A55A2">
        <w:rPr>
          <w:rFonts w:ascii="Times New Roman" w:hAnsi="Times New Roman" w:cs="Times New Roman"/>
          <w:color w:val="000000" w:themeColor="text1"/>
          <w:lang w:val="lv-LV"/>
        </w:rPr>
        <w:t xml:space="preserve">un Eiropas struktūrfondu līdzfinansētajos "Praktiskas ievirzes pētījumi" piemērojamā 25% </w:t>
      </w:r>
      <w:r w:rsidR="00584331" w:rsidRPr="007A55A2">
        <w:rPr>
          <w:rFonts w:ascii="Times New Roman" w:hAnsi="Times New Roman" w:cs="Times New Roman"/>
          <w:color w:val="000000" w:themeColor="text1"/>
          <w:lang w:val="lv-LV"/>
        </w:rPr>
        <w:t xml:space="preserve">likme rāda piemēru </w:t>
      </w:r>
      <w:r w:rsidR="003C0B4E" w:rsidRPr="007A55A2">
        <w:rPr>
          <w:rFonts w:ascii="Times New Roman" w:hAnsi="Times New Roman" w:cs="Times New Roman"/>
          <w:color w:val="000000" w:themeColor="text1"/>
          <w:lang w:val="lv-LV"/>
        </w:rPr>
        <w:t xml:space="preserve">tam, kāda </w:t>
      </w:r>
      <w:r w:rsidR="00DA532C" w:rsidRPr="007A55A2">
        <w:rPr>
          <w:rFonts w:ascii="Times New Roman" w:hAnsi="Times New Roman" w:cs="Times New Roman"/>
          <w:color w:val="000000" w:themeColor="text1"/>
          <w:lang w:val="lv-LV"/>
        </w:rPr>
        <w:t xml:space="preserve">mūsdienās </w:t>
      </w:r>
      <w:r w:rsidR="003C0B4E" w:rsidRPr="007A55A2">
        <w:rPr>
          <w:rFonts w:ascii="Times New Roman" w:hAnsi="Times New Roman" w:cs="Times New Roman"/>
          <w:color w:val="000000" w:themeColor="text1"/>
          <w:lang w:val="lv-LV"/>
        </w:rPr>
        <w:t xml:space="preserve">ir </w:t>
      </w:r>
      <w:r w:rsidR="00DA532C" w:rsidRPr="007A55A2">
        <w:rPr>
          <w:rFonts w:ascii="Times New Roman" w:hAnsi="Times New Roman" w:cs="Times New Roman"/>
          <w:color w:val="000000" w:themeColor="text1"/>
          <w:lang w:val="lv-LV"/>
        </w:rPr>
        <w:t>starptautiska (galvenokārt attīst</w:t>
      </w:r>
      <w:r w:rsidR="004E761B" w:rsidRPr="007A55A2">
        <w:rPr>
          <w:rFonts w:ascii="Times New Roman" w:hAnsi="Times New Roman" w:cs="Times New Roman"/>
          <w:color w:val="000000" w:themeColor="text1"/>
          <w:lang w:val="lv-LV"/>
        </w:rPr>
        <w:t>īt</w:t>
      </w:r>
      <w:r w:rsidR="00DA532C" w:rsidRPr="007A55A2">
        <w:rPr>
          <w:rFonts w:ascii="Times New Roman" w:hAnsi="Times New Roman" w:cs="Times New Roman"/>
          <w:color w:val="000000" w:themeColor="text1"/>
          <w:lang w:val="lv-LV"/>
        </w:rPr>
        <w:t xml:space="preserve">o Eiropas valstu) </w:t>
      </w:r>
      <w:r w:rsidR="00A40BE1" w:rsidRPr="007A55A2">
        <w:rPr>
          <w:rFonts w:ascii="Times New Roman" w:hAnsi="Times New Roman" w:cs="Times New Roman"/>
          <w:color w:val="000000" w:themeColor="text1"/>
          <w:lang w:val="lv-LV"/>
        </w:rPr>
        <w:t xml:space="preserve">izpratne </w:t>
      </w:r>
      <w:r w:rsidR="003C0B4E" w:rsidRPr="007A55A2">
        <w:rPr>
          <w:rFonts w:ascii="Times New Roman" w:hAnsi="Times New Roman" w:cs="Times New Roman"/>
          <w:color w:val="000000" w:themeColor="text1"/>
          <w:lang w:val="lv-LV"/>
        </w:rPr>
        <w:t xml:space="preserve">par netiešo attiecināmo </w:t>
      </w:r>
      <w:r w:rsidR="00B33ED9" w:rsidRPr="007A55A2">
        <w:rPr>
          <w:rFonts w:ascii="Times New Roman" w:hAnsi="Times New Roman" w:cs="Times New Roman"/>
          <w:color w:val="000000" w:themeColor="text1"/>
          <w:lang w:val="lv-LV"/>
        </w:rPr>
        <w:t xml:space="preserve">izmaksu nepieciešamību un lomu sekmīgai zinātniskās darbības </w:t>
      </w:r>
      <w:r w:rsidR="00EF4D3F" w:rsidRPr="007A55A2">
        <w:rPr>
          <w:rFonts w:ascii="Times New Roman" w:hAnsi="Times New Roman" w:cs="Times New Roman"/>
          <w:color w:val="000000" w:themeColor="text1"/>
          <w:lang w:val="lv-LV"/>
        </w:rPr>
        <w:t xml:space="preserve">attīstībai </w:t>
      </w:r>
      <w:r w:rsidR="00B33ED9" w:rsidRPr="007A55A2">
        <w:rPr>
          <w:rFonts w:ascii="Times New Roman" w:hAnsi="Times New Roman" w:cs="Times New Roman"/>
          <w:color w:val="000000" w:themeColor="text1"/>
          <w:lang w:val="lv-LV"/>
        </w:rPr>
        <w:t xml:space="preserve">un </w:t>
      </w:r>
      <w:r w:rsidR="00A40BE1" w:rsidRPr="007A55A2">
        <w:rPr>
          <w:rFonts w:ascii="Times New Roman" w:hAnsi="Times New Roman" w:cs="Times New Roman"/>
          <w:color w:val="000000" w:themeColor="text1"/>
          <w:lang w:val="lv-LV"/>
        </w:rPr>
        <w:t xml:space="preserve">nodrošināšanai, </w:t>
      </w:r>
      <w:r w:rsidR="00B33ED9" w:rsidRPr="007A55A2">
        <w:rPr>
          <w:rFonts w:ascii="Times New Roman" w:hAnsi="Times New Roman" w:cs="Times New Roman"/>
          <w:color w:val="000000" w:themeColor="text1"/>
          <w:lang w:val="lv-LV"/>
        </w:rPr>
        <w:t>zinātnisko institūciju funkcionēš</w:t>
      </w:r>
      <w:r w:rsidR="00EF4D3F" w:rsidRPr="007A55A2">
        <w:rPr>
          <w:rFonts w:ascii="Times New Roman" w:hAnsi="Times New Roman" w:cs="Times New Roman"/>
          <w:color w:val="000000" w:themeColor="text1"/>
          <w:lang w:val="lv-LV"/>
        </w:rPr>
        <w:t xml:space="preserve">anai </w:t>
      </w:r>
      <w:r w:rsidR="00B33ED9" w:rsidRPr="007A55A2">
        <w:rPr>
          <w:rFonts w:ascii="Times New Roman" w:hAnsi="Times New Roman" w:cs="Times New Roman"/>
          <w:color w:val="000000" w:themeColor="text1"/>
          <w:lang w:val="lv-LV"/>
        </w:rPr>
        <w:t xml:space="preserve">un </w:t>
      </w:r>
      <w:r w:rsidR="00EF4D3F" w:rsidRPr="007A55A2">
        <w:rPr>
          <w:rFonts w:ascii="Times New Roman" w:hAnsi="Times New Roman" w:cs="Times New Roman"/>
          <w:color w:val="000000" w:themeColor="text1"/>
          <w:lang w:val="lv-LV"/>
        </w:rPr>
        <w:t>kapacitātes stiprināšanai</w:t>
      </w:r>
      <w:r w:rsidR="00ED28DB" w:rsidRPr="007A55A2">
        <w:rPr>
          <w:rFonts w:ascii="Times New Roman" w:hAnsi="Times New Roman" w:cs="Times New Roman"/>
          <w:color w:val="000000" w:themeColor="text1"/>
          <w:lang w:val="lv-LV"/>
        </w:rPr>
        <w:t xml:space="preserve">. </w:t>
      </w:r>
    </w:p>
    <w:p w14:paraId="50BED446" w14:textId="5F545BDC" w:rsidR="009807DA" w:rsidRPr="007A55A2" w:rsidRDefault="00A743DD" w:rsidP="00367B4E">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Pašreizējā posmā būtu vēlams pētniecības projektiem noteikt netiešās izmaksas līdz 15% no tiešajām izmaksām, izņemot ārējo pakalpojumu izmaksas, kā arī paredzēt iesniedzējam pašam tiesības noteikt netiešo izmaksu daļu šī noteiktā ietvara robežās un sabalansēt pētījuma budžetu, ņemot vērā iespējas un nepieciešamību. Tas ir arī zināms kompromiss resursu sadalē starp tieši pētniecības aktivitātēm un to “apkalpošanu” no netiešajām izmaksām</w:t>
      </w:r>
      <w:r w:rsidR="009807DA" w:rsidRPr="007A55A2">
        <w:rPr>
          <w:rFonts w:ascii="Times New Roman" w:hAnsi="Times New Roman" w:cs="Times New Roman"/>
          <w:color w:val="000000" w:themeColor="text1"/>
          <w:lang w:val="lv-LV"/>
        </w:rPr>
        <w:t>. Perspektīvā</w:t>
      </w:r>
      <w:r w:rsidR="00B77B1A" w:rsidRPr="007A55A2">
        <w:rPr>
          <w:rFonts w:ascii="Times New Roman" w:hAnsi="Times New Roman" w:cs="Times New Roman"/>
          <w:color w:val="000000" w:themeColor="text1"/>
          <w:lang w:val="lv-LV"/>
        </w:rPr>
        <w:t>,</w:t>
      </w:r>
      <w:r w:rsidR="009807DA" w:rsidRPr="007A55A2">
        <w:rPr>
          <w:rFonts w:ascii="Times New Roman" w:hAnsi="Times New Roman" w:cs="Times New Roman"/>
          <w:color w:val="000000" w:themeColor="text1"/>
          <w:lang w:val="lv-LV"/>
        </w:rPr>
        <w:t xml:space="preserve"> pieaugot pētniecības finansējumam, būtu </w:t>
      </w:r>
      <w:r w:rsidR="00B77B1A" w:rsidRPr="007A55A2">
        <w:rPr>
          <w:rFonts w:ascii="Times New Roman" w:hAnsi="Times New Roman" w:cs="Times New Roman"/>
          <w:color w:val="000000" w:themeColor="text1"/>
          <w:lang w:val="lv-LV"/>
        </w:rPr>
        <w:t xml:space="preserve">jārod </w:t>
      </w:r>
      <w:r w:rsidR="009807DA" w:rsidRPr="007A55A2">
        <w:rPr>
          <w:rFonts w:ascii="Times New Roman" w:hAnsi="Times New Roman" w:cs="Times New Roman"/>
          <w:color w:val="000000" w:themeColor="text1"/>
          <w:lang w:val="lv-LV"/>
        </w:rPr>
        <w:t>iespēja pāriet uz augstāku maksimālo pieļaujamo netiešo izmaksu daļu līdz 25%</w:t>
      </w:r>
      <w:r w:rsidR="00AA4EC5" w:rsidRPr="007A55A2">
        <w:rPr>
          <w:rFonts w:ascii="Times New Roman" w:hAnsi="Times New Roman" w:cs="Times New Roman"/>
          <w:color w:val="000000" w:themeColor="text1"/>
          <w:lang w:val="lv-LV"/>
        </w:rPr>
        <w:t xml:space="preserve"> no tiešajām izmaksām, izņemot ārējo pakalpojumu izmaksas</w:t>
      </w:r>
      <w:r w:rsidR="009807DA" w:rsidRPr="007A55A2">
        <w:rPr>
          <w:rFonts w:ascii="Times New Roman" w:hAnsi="Times New Roman" w:cs="Times New Roman"/>
          <w:color w:val="000000" w:themeColor="text1"/>
          <w:lang w:val="lv-LV"/>
        </w:rPr>
        <w:t xml:space="preserve">. Tas </w:t>
      </w:r>
      <w:r w:rsidR="0008597A" w:rsidRPr="007A55A2">
        <w:rPr>
          <w:rFonts w:ascii="Times New Roman" w:hAnsi="Times New Roman" w:cs="Times New Roman"/>
          <w:color w:val="000000" w:themeColor="text1"/>
          <w:lang w:val="lv-LV"/>
        </w:rPr>
        <w:t xml:space="preserve">šajā aspektā </w:t>
      </w:r>
      <w:r w:rsidR="009807DA" w:rsidRPr="007A55A2">
        <w:rPr>
          <w:rFonts w:ascii="Times New Roman" w:hAnsi="Times New Roman" w:cs="Times New Roman"/>
          <w:color w:val="000000" w:themeColor="text1"/>
          <w:lang w:val="lv-LV"/>
        </w:rPr>
        <w:t xml:space="preserve">ļautu izlīdzināt atšķirības starp no Latvijas budžeta finansētajiem VPP un FLPP projektiem un </w:t>
      </w:r>
      <w:r w:rsidR="00AA4EC5" w:rsidRPr="007A55A2">
        <w:rPr>
          <w:rFonts w:ascii="Times New Roman" w:hAnsi="Times New Roman" w:cs="Times New Roman"/>
          <w:color w:val="000000" w:themeColor="text1"/>
          <w:lang w:val="lv-LV"/>
        </w:rPr>
        <w:t xml:space="preserve">Eiropas Savienības struktūrfondu līdzfinansētiem </w:t>
      </w:r>
      <w:r w:rsidRPr="007A55A2">
        <w:rPr>
          <w:rFonts w:ascii="Times New Roman" w:hAnsi="Times New Roman" w:cs="Times New Roman"/>
          <w:color w:val="000000" w:themeColor="text1"/>
          <w:lang w:val="lv-LV"/>
        </w:rPr>
        <w:t xml:space="preserve">un </w:t>
      </w:r>
      <w:r w:rsidR="00AA4EC5" w:rsidRPr="007A55A2">
        <w:rPr>
          <w:rFonts w:ascii="Times New Roman" w:hAnsi="Times New Roman" w:cs="Times New Roman"/>
          <w:color w:val="000000" w:themeColor="text1"/>
          <w:lang w:val="lv-LV"/>
        </w:rPr>
        <w:t>starptautiskās sadarbības projektiem.</w:t>
      </w:r>
    </w:p>
    <w:p w14:paraId="5BE7F0BE" w14:textId="21159839" w:rsidR="007E3FC6" w:rsidRPr="007A55A2" w:rsidRDefault="007E3FC6" w:rsidP="00367B4E">
      <w:pPr>
        <w:ind w:right="-7" w:firstLine="709"/>
        <w:jc w:val="both"/>
        <w:rPr>
          <w:rFonts w:ascii="Times New Roman" w:hAnsi="Times New Roman" w:cs="Times New Roman"/>
          <w:color w:val="000000" w:themeColor="text1"/>
          <w:lang w:val="lv-LV"/>
        </w:rPr>
      </w:pPr>
      <w:r w:rsidRPr="007A55A2">
        <w:rPr>
          <w:rFonts w:ascii="Times New Roman" w:hAnsi="Times New Roman" w:cs="Times New Roman"/>
          <w:color w:val="000000" w:themeColor="text1"/>
          <w:lang w:val="lv-LV"/>
        </w:rPr>
        <w:t xml:space="preserve">Pamatojoties uz </w:t>
      </w:r>
      <w:r w:rsidR="00B03552" w:rsidRPr="007A55A2">
        <w:rPr>
          <w:rFonts w:ascii="Times New Roman" w:hAnsi="Times New Roman" w:cs="Times New Roman"/>
          <w:color w:val="000000" w:themeColor="text1"/>
          <w:lang w:val="lv-LV"/>
        </w:rPr>
        <w:t xml:space="preserve">Eiropas Savienības “Apvārsnis Eiropa” </w:t>
      </w:r>
      <w:r w:rsidR="00627E1D" w:rsidRPr="007A55A2">
        <w:rPr>
          <w:rFonts w:ascii="Times New Roman" w:hAnsi="Times New Roman" w:cs="Times New Roman"/>
          <w:color w:val="000000" w:themeColor="text1"/>
          <w:lang w:val="lv-LV"/>
        </w:rPr>
        <w:t>starptautiskās sadarbības projekt</w:t>
      </w:r>
      <w:r w:rsidR="00827852" w:rsidRPr="007A55A2">
        <w:rPr>
          <w:rFonts w:ascii="Times New Roman" w:hAnsi="Times New Roman" w:cs="Times New Roman"/>
          <w:color w:val="000000" w:themeColor="text1"/>
          <w:lang w:val="lv-LV"/>
        </w:rPr>
        <w:t>os</w:t>
      </w:r>
      <w:r w:rsidR="00627E1D" w:rsidRPr="007A55A2">
        <w:rPr>
          <w:rFonts w:ascii="Times New Roman" w:hAnsi="Times New Roman" w:cs="Times New Roman"/>
          <w:color w:val="000000" w:themeColor="text1"/>
          <w:lang w:val="lv-LV"/>
        </w:rPr>
        <w:t xml:space="preserve"> un Eiropas Savienības struktūrfondu līdzfinansēt</w:t>
      </w:r>
      <w:r w:rsidR="00827852" w:rsidRPr="007A55A2">
        <w:rPr>
          <w:rFonts w:ascii="Times New Roman" w:hAnsi="Times New Roman" w:cs="Times New Roman"/>
          <w:color w:val="000000" w:themeColor="text1"/>
          <w:lang w:val="lv-LV"/>
        </w:rPr>
        <w:t>ajos projektos</w:t>
      </w:r>
      <w:r w:rsidR="00627E1D" w:rsidRPr="007A55A2">
        <w:rPr>
          <w:rFonts w:ascii="Times New Roman" w:hAnsi="Times New Roman" w:cs="Times New Roman"/>
          <w:color w:val="000000" w:themeColor="text1"/>
          <w:lang w:val="lv-LV"/>
        </w:rPr>
        <w:t xml:space="preserve"> </w:t>
      </w:r>
      <w:r w:rsidR="00B03552" w:rsidRPr="007A55A2">
        <w:rPr>
          <w:rFonts w:ascii="Times New Roman" w:hAnsi="Times New Roman" w:cs="Times New Roman"/>
          <w:color w:val="000000" w:themeColor="text1"/>
          <w:lang w:val="lv-LV"/>
        </w:rPr>
        <w:t>iedibināto praksi</w:t>
      </w:r>
      <w:r w:rsidR="002C0707" w:rsidRPr="007A55A2">
        <w:rPr>
          <w:rFonts w:ascii="Times New Roman" w:hAnsi="Times New Roman" w:cs="Times New Roman"/>
          <w:color w:val="000000" w:themeColor="text1"/>
          <w:lang w:val="lv-LV"/>
        </w:rPr>
        <w:t xml:space="preserve">, inovāciju </w:t>
      </w:r>
      <w:r w:rsidR="00196EF7" w:rsidRPr="007A55A2">
        <w:rPr>
          <w:rFonts w:ascii="Times New Roman" w:hAnsi="Times New Roman" w:cs="Times New Roman"/>
          <w:color w:val="000000" w:themeColor="text1"/>
          <w:lang w:val="lv-LV"/>
        </w:rPr>
        <w:t xml:space="preserve">programmu un projektu </w:t>
      </w:r>
      <w:r w:rsidR="003014DC" w:rsidRPr="007A55A2">
        <w:rPr>
          <w:rFonts w:ascii="Times New Roman" w:hAnsi="Times New Roman" w:cs="Times New Roman"/>
          <w:color w:val="000000" w:themeColor="text1"/>
          <w:lang w:val="lv-LV"/>
        </w:rPr>
        <w:t>īstenošanai maksimālo pieļaujamo netiešo izmaksu daļu</w:t>
      </w:r>
      <w:r w:rsidR="00CC7A7F" w:rsidRPr="007A55A2">
        <w:rPr>
          <w:rFonts w:ascii="Times New Roman" w:hAnsi="Times New Roman" w:cs="Times New Roman"/>
          <w:color w:val="000000" w:themeColor="text1"/>
          <w:lang w:val="lv-LV"/>
        </w:rPr>
        <w:t xml:space="preserve"> ieteicams noteikt atkarībā no tā, vai projektos apvienojamas gan pētnieciskās, gan inovāciju darbības, vai projekt</w:t>
      </w:r>
      <w:r w:rsidR="009C2F0E" w:rsidRPr="007A55A2">
        <w:rPr>
          <w:rFonts w:ascii="Times New Roman" w:hAnsi="Times New Roman" w:cs="Times New Roman"/>
          <w:color w:val="000000" w:themeColor="text1"/>
          <w:lang w:val="lv-LV"/>
        </w:rPr>
        <w:t xml:space="preserve">ā </w:t>
      </w:r>
      <w:r w:rsidR="00F802E3" w:rsidRPr="007A55A2">
        <w:rPr>
          <w:rFonts w:ascii="Times New Roman" w:hAnsi="Times New Roman" w:cs="Times New Roman"/>
          <w:color w:val="000000" w:themeColor="text1"/>
          <w:lang w:val="lv-LV"/>
        </w:rPr>
        <w:t xml:space="preserve">galvenokārt </w:t>
      </w:r>
      <w:r w:rsidR="007D70A4" w:rsidRPr="007A55A2">
        <w:rPr>
          <w:rFonts w:ascii="Times New Roman" w:hAnsi="Times New Roman" w:cs="Times New Roman"/>
          <w:color w:val="000000" w:themeColor="text1"/>
          <w:lang w:val="lv-LV"/>
        </w:rPr>
        <w:t xml:space="preserve">atbalstīta </w:t>
      </w:r>
      <w:r w:rsidR="00F802E3" w:rsidRPr="007A55A2">
        <w:rPr>
          <w:rFonts w:ascii="Times New Roman" w:hAnsi="Times New Roman" w:cs="Times New Roman"/>
          <w:color w:val="000000" w:themeColor="text1"/>
          <w:lang w:val="lv-LV"/>
        </w:rPr>
        <w:t>inovācijas izstrāde un virzība uz komercializāciju.</w:t>
      </w:r>
    </w:p>
    <w:p w14:paraId="4699BD2F" w14:textId="12A11F80" w:rsidR="00DC5A50" w:rsidRPr="007A55A2" w:rsidRDefault="00DC5A50" w:rsidP="00A743DD">
      <w:pPr>
        <w:spacing w:after="0" w:line="240" w:lineRule="auto"/>
        <w:ind w:right="-6"/>
        <w:jc w:val="both"/>
        <w:rPr>
          <w:rFonts w:ascii="Times New Roman" w:hAnsi="Times New Roman" w:cs="Times New Roman"/>
          <w:color w:val="000000" w:themeColor="text1"/>
          <w:lang w:val="lv-LV"/>
        </w:rPr>
      </w:pPr>
    </w:p>
    <w:sectPr w:rsidR="00DC5A50" w:rsidRPr="007A55A2" w:rsidSect="009031DF">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439A" w14:textId="77777777" w:rsidR="00D64139" w:rsidRDefault="00D64139" w:rsidP="00746486">
      <w:pPr>
        <w:spacing w:after="0" w:line="240" w:lineRule="auto"/>
      </w:pPr>
      <w:r>
        <w:separator/>
      </w:r>
    </w:p>
  </w:endnote>
  <w:endnote w:type="continuationSeparator" w:id="0">
    <w:p w14:paraId="2463E4F4" w14:textId="77777777" w:rsidR="00D64139" w:rsidRDefault="00D64139" w:rsidP="0074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627F" w14:textId="77777777" w:rsidR="00015BBA" w:rsidRDefault="00015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4948" w14:textId="77777777" w:rsidR="00015BBA" w:rsidRDefault="00015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B478" w14:textId="77777777" w:rsidR="00015BBA" w:rsidRDefault="00015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3767" w14:textId="77777777" w:rsidR="00D64139" w:rsidRDefault="00D64139" w:rsidP="00746486">
      <w:pPr>
        <w:spacing w:after="0" w:line="240" w:lineRule="auto"/>
      </w:pPr>
      <w:r>
        <w:separator/>
      </w:r>
    </w:p>
  </w:footnote>
  <w:footnote w:type="continuationSeparator" w:id="0">
    <w:p w14:paraId="35586194" w14:textId="77777777" w:rsidR="00D64139" w:rsidRDefault="00D64139" w:rsidP="00746486">
      <w:pPr>
        <w:spacing w:after="0" w:line="240" w:lineRule="auto"/>
      </w:pPr>
      <w:r>
        <w:continuationSeparator/>
      </w:r>
    </w:p>
  </w:footnote>
  <w:footnote w:id="1">
    <w:p w14:paraId="4659A75C" w14:textId="5BDD9EF8" w:rsidR="0097182D" w:rsidRPr="00A743DD" w:rsidRDefault="0097182D">
      <w:pPr>
        <w:pStyle w:val="FootnoteText"/>
        <w:rPr>
          <w:lang w:val="lv-LV"/>
        </w:rPr>
      </w:pPr>
      <w:r>
        <w:rPr>
          <w:rStyle w:val="FootnoteReference"/>
        </w:rPr>
        <w:footnoteRef/>
      </w:r>
      <w:r w:rsidRPr="00545E0A">
        <w:rPr>
          <w:lang w:val="pt-BR"/>
        </w:rPr>
        <w:t xml:space="preserve"> </w:t>
      </w:r>
      <w:hyperlink r:id="rId1" w:history="1">
        <w:r w:rsidRPr="00545E0A">
          <w:rPr>
            <w:rStyle w:val="Hyperlink"/>
            <w:rFonts w:ascii="Times New Roman" w:hAnsi="Times New Roman" w:cs="Times New Roman"/>
            <w:lang w:val="pt-BR"/>
          </w:rPr>
          <w:t>2018. gada 4. septembra Ministru kabineta noteikumi Nr. 560 “Valsts pētījumu programmu projektu īstenošanas kārtība”</w:t>
        </w:r>
      </w:hyperlink>
      <w:r w:rsidRPr="00545E0A">
        <w:rPr>
          <w:lang w:val="pt-BR"/>
        </w:rPr>
        <w:t xml:space="preserve"> </w:t>
      </w:r>
    </w:p>
  </w:footnote>
  <w:footnote w:id="2">
    <w:p w14:paraId="43A9D13B" w14:textId="77777777" w:rsidR="007F0B77" w:rsidRPr="007B0765" w:rsidRDefault="007F0B77" w:rsidP="007B0765">
      <w:pPr>
        <w:pStyle w:val="FootnoteText"/>
        <w:jc w:val="both"/>
        <w:rPr>
          <w:rFonts w:ascii="Times New Roman" w:hAnsi="Times New Roman" w:cs="Times New Roman"/>
          <w:lang w:val="lv-LV"/>
        </w:rPr>
      </w:pPr>
      <w:r>
        <w:rPr>
          <w:rStyle w:val="FootnoteReference"/>
        </w:rPr>
        <w:footnoteRef/>
      </w:r>
      <w:r w:rsidRPr="007A55A2">
        <w:rPr>
          <w:lang w:val="lv-LV"/>
        </w:rPr>
        <w:t xml:space="preserve"> </w:t>
      </w:r>
      <w:bookmarkStart w:id="0" w:name="_Hlk181111686"/>
      <w:r w:rsidRPr="007B0765">
        <w:fldChar w:fldCharType="begin"/>
      </w:r>
      <w:r w:rsidRPr="007A55A2">
        <w:rPr>
          <w:rFonts w:ascii="Times New Roman" w:hAnsi="Times New Roman" w:cs="Times New Roman"/>
          <w:lang w:val="lv-LV"/>
        </w:rPr>
        <w:instrText>HYPERLINK "https://likumi.lv/ta/id/301438-valsts-petijumu-programmu-projektu-istenosanas-kartiba"</w:instrText>
      </w:r>
      <w:r w:rsidRPr="007B0765">
        <w:fldChar w:fldCharType="separate"/>
      </w:r>
      <w:r w:rsidRPr="007A55A2">
        <w:rPr>
          <w:rStyle w:val="Hyperlink"/>
          <w:rFonts w:ascii="Times New Roman" w:hAnsi="Times New Roman" w:cs="Times New Roman"/>
          <w:lang w:val="lv-LV"/>
        </w:rPr>
        <w:t>2018. gada 4. septembra Ministru kabineta noteikumi Nr. 560 “Valsts pētījumu programmu projektu īstenošanas kārtība”</w:t>
      </w:r>
      <w:r w:rsidRPr="007B0765">
        <w:rPr>
          <w:rStyle w:val="Hyperlink"/>
          <w:rFonts w:ascii="Times New Roman" w:hAnsi="Times New Roman" w:cs="Times New Roman"/>
        </w:rPr>
        <w:fldChar w:fldCharType="end"/>
      </w:r>
      <w:bookmarkEnd w:id="0"/>
    </w:p>
  </w:footnote>
  <w:footnote w:id="3">
    <w:p w14:paraId="5DD89D7F" w14:textId="77777777" w:rsidR="007F0B77" w:rsidRPr="007B0765" w:rsidRDefault="007F0B77" w:rsidP="007B0765">
      <w:pPr>
        <w:pStyle w:val="FootnoteText"/>
        <w:jc w:val="both"/>
        <w:rPr>
          <w:rFonts w:ascii="Times New Roman" w:hAnsi="Times New Roman" w:cs="Times New Roman"/>
          <w:lang w:val="lv-LV"/>
        </w:rPr>
      </w:pPr>
      <w:r w:rsidRPr="007B0765">
        <w:rPr>
          <w:rStyle w:val="FootnoteReference"/>
          <w:rFonts w:ascii="Times New Roman" w:hAnsi="Times New Roman" w:cs="Times New Roman"/>
        </w:rPr>
        <w:footnoteRef/>
      </w:r>
      <w:r w:rsidRPr="007B0765">
        <w:rPr>
          <w:rFonts w:ascii="Times New Roman" w:hAnsi="Times New Roman" w:cs="Times New Roman"/>
          <w:lang w:val="lv-LV"/>
        </w:rPr>
        <w:t xml:space="preserve"> </w:t>
      </w:r>
      <w:hyperlink r:id="rId2" w:history="1">
        <w:r w:rsidRPr="007B0765">
          <w:rPr>
            <w:rStyle w:val="Hyperlink"/>
            <w:rFonts w:ascii="Times New Roman" w:hAnsi="Times New Roman" w:cs="Times New Roman"/>
            <w:lang w:val="lv-LV"/>
          </w:rPr>
          <w:t>2023. gada 6. jūnija Ministru kabineta noteikumi Nr. 277 “Grozījumi Ministru kabineta 2018. gada 4. septembra noteikumos Nr. 560 "Valsts pētījumu programmu projektu īstenošanas kārtība"</w:t>
        </w:r>
      </w:hyperlink>
    </w:p>
  </w:footnote>
  <w:footnote w:id="4">
    <w:p w14:paraId="6C6663B1" w14:textId="77777777" w:rsidR="009031DF" w:rsidRPr="007B0765" w:rsidRDefault="009031DF" w:rsidP="007B0765">
      <w:pPr>
        <w:pStyle w:val="FootnoteText"/>
        <w:jc w:val="both"/>
        <w:rPr>
          <w:rFonts w:ascii="Times New Roman" w:hAnsi="Times New Roman" w:cs="Times New Roman"/>
          <w:lang w:val="lv-LV"/>
        </w:rPr>
      </w:pPr>
      <w:r w:rsidRPr="007B0765">
        <w:rPr>
          <w:rStyle w:val="FootnoteReference"/>
          <w:rFonts w:ascii="Times New Roman" w:hAnsi="Times New Roman" w:cs="Times New Roman"/>
        </w:rPr>
        <w:footnoteRef/>
      </w:r>
      <w:r w:rsidRPr="007B0765">
        <w:rPr>
          <w:rFonts w:ascii="Times New Roman" w:hAnsi="Times New Roman" w:cs="Times New Roman"/>
          <w:lang w:val="lv-LV"/>
        </w:rPr>
        <w:t xml:space="preserve"> </w:t>
      </w:r>
      <w:hyperlink r:id="rId3" w:history="1">
        <w:r w:rsidRPr="007B0765">
          <w:rPr>
            <w:rStyle w:val="Hyperlink"/>
            <w:rFonts w:ascii="Times New Roman" w:hAnsi="Times New Roman" w:cs="Times New Roman"/>
            <w:lang w:val="lv-LV"/>
          </w:rPr>
          <w:t>2024. gada 6. februāra Ministru kabineta noteikumi Nr. 94 “Grozījumi Ministru kabineta 2018. gada 4. septembra noteikumos Nr. 560 "Valsts pētījumu programmu projektu īstenošanas kārtība</w:t>
        </w:r>
      </w:hyperlink>
      <w:r w:rsidRPr="007B0765">
        <w:rPr>
          <w:rFonts w:ascii="Times New Roman" w:hAnsi="Times New Roman" w:cs="Times New Roman"/>
          <w:lang w:val="lv-LV"/>
        </w:rPr>
        <w:t>”</w:t>
      </w:r>
    </w:p>
  </w:footnote>
  <w:footnote w:id="5">
    <w:p w14:paraId="0AA6E3D1" w14:textId="77777777" w:rsidR="00E130A0" w:rsidRPr="007B0765" w:rsidRDefault="00E130A0" w:rsidP="007B0765">
      <w:pPr>
        <w:pStyle w:val="FootnoteText"/>
        <w:jc w:val="both"/>
        <w:rPr>
          <w:rFonts w:ascii="Times New Roman" w:hAnsi="Times New Roman" w:cs="Times New Roman"/>
          <w:lang w:val="lv-LV"/>
        </w:rPr>
      </w:pPr>
      <w:r w:rsidRPr="007B0765">
        <w:rPr>
          <w:rStyle w:val="FootnoteReference"/>
          <w:rFonts w:ascii="Times New Roman" w:hAnsi="Times New Roman" w:cs="Times New Roman"/>
        </w:rPr>
        <w:footnoteRef/>
      </w:r>
      <w:r w:rsidRPr="007B0765">
        <w:rPr>
          <w:rFonts w:ascii="Times New Roman" w:hAnsi="Times New Roman" w:cs="Times New Roman"/>
          <w:lang w:val="lv-LV"/>
        </w:rPr>
        <w:t xml:space="preserve"> </w:t>
      </w:r>
      <w:hyperlink r:id="rId4" w:history="1">
        <w:r w:rsidRPr="007B0765">
          <w:rPr>
            <w:rStyle w:val="Hyperlink"/>
            <w:rFonts w:ascii="Times New Roman" w:hAnsi="Times New Roman" w:cs="Times New Roman"/>
            <w:lang w:val="lv-LV"/>
          </w:rPr>
          <w:t>Informācija Valsts pētījumu programmas īstenotājiem</w:t>
        </w:r>
      </w:hyperlink>
    </w:p>
  </w:footnote>
  <w:footnote w:id="6">
    <w:p w14:paraId="2C7A322F" w14:textId="60287E9D" w:rsidR="00384054" w:rsidRPr="00A743DD" w:rsidRDefault="00384054" w:rsidP="00A743DD">
      <w:pPr>
        <w:pStyle w:val="FootnoteText"/>
        <w:jc w:val="both"/>
        <w:rPr>
          <w:rFonts w:ascii="Times New Roman" w:hAnsi="Times New Roman" w:cs="Times New Roman"/>
          <w:lang w:val="lv-LV"/>
        </w:rPr>
      </w:pPr>
      <w:r>
        <w:rPr>
          <w:rStyle w:val="FootnoteReference"/>
        </w:rPr>
        <w:footnoteRef/>
      </w:r>
      <w:r w:rsidRPr="00384054">
        <w:rPr>
          <w:lang w:val="lv-LV"/>
        </w:rPr>
        <w:t xml:space="preserve"> </w:t>
      </w:r>
      <w:hyperlink r:id="rId5" w:history="1">
        <w:r w:rsidRPr="00A743DD">
          <w:rPr>
            <w:rStyle w:val="Hyperlink"/>
            <w:rFonts w:ascii="Times New Roman" w:hAnsi="Times New Roman" w:cs="Times New Roman"/>
            <w:lang w:val="lv-LV"/>
          </w:rPr>
          <w:t>2017. gada 12. decembra Ministru kabineta noteikumi Nr. 725 “Fundamentālo un lietišķo pētījumu projektu izvērtēšanas un finansējuma administrēšanas kārtība”</w:t>
        </w:r>
      </w:hyperlink>
    </w:p>
  </w:footnote>
  <w:footnote w:id="7">
    <w:p w14:paraId="17FFB942" w14:textId="77777777" w:rsidR="0075421D" w:rsidRPr="00A743DD" w:rsidRDefault="0075421D" w:rsidP="00A743DD">
      <w:pPr>
        <w:pStyle w:val="FootnoteText"/>
        <w:jc w:val="both"/>
        <w:rPr>
          <w:rFonts w:ascii="Times New Roman" w:hAnsi="Times New Roman" w:cs="Times New Roman"/>
          <w:lang w:val="lv-LV"/>
        </w:rPr>
      </w:pPr>
      <w:r w:rsidRPr="00A743DD">
        <w:rPr>
          <w:rStyle w:val="FootnoteReference"/>
          <w:rFonts w:ascii="Times New Roman" w:hAnsi="Times New Roman" w:cs="Times New Roman"/>
        </w:rPr>
        <w:footnoteRef/>
      </w:r>
      <w:r w:rsidRPr="00A743DD">
        <w:rPr>
          <w:rFonts w:ascii="Times New Roman" w:hAnsi="Times New Roman" w:cs="Times New Roman"/>
          <w:lang w:val="lv-LV"/>
        </w:rPr>
        <w:t xml:space="preserve"> </w:t>
      </w:r>
      <w:hyperlink r:id="rId6" w:history="1">
        <w:r w:rsidRPr="00A743DD">
          <w:rPr>
            <w:rStyle w:val="Hyperlink"/>
            <w:rFonts w:ascii="Times New Roman" w:hAnsi="Times New Roman" w:cs="Times New Roman"/>
            <w:lang w:val="lv-LV"/>
          </w:rPr>
          <w:t>Informācija īstenotājiem</w:t>
        </w:r>
      </w:hyperlink>
    </w:p>
  </w:footnote>
  <w:footnote w:id="8">
    <w:p w14:paraId="5D421D38" w14:textId="1E12683E" w:rsidR="00B22AC4" w:rsidRPr="00A743DD" w:rsidRDefault="00B22AC4" w:rsidP="00A743DD">
      <w:pPr>
        <w:pStyle w:val="FootnoteText"/>
        <w:jc w:val="both"/>
        <w:rPr>
          <w:rFonts w:ascii="Times New Roman" w:hAnsi="Times New Roman" w:cs="Times New Roman"/>
          <w:lang w:val="lv-LV"/>
        </w:rPr>
      </w:pPr>
      <w:r>
        <w:rPr>
          <w:rStyle w:val="FootnoteReference"/>
        </w:rPr>
        <w:footnoteRef/>
      </w:r>
      <w:r w:rsidRPr="00B22AC4">
        <w:rPr>
          <w:lang w:val="lv-LV"/>
        </w:rPr>
        <w:t xml:space="preserve"> </w:t>
      </w:r>
      <w:hyperlink r:id="rId7" w:history="1">
        <w:r w:rsidR="001C68E2" w:rsidRPr="00A743DD">
          <w:rPr>
            <w:rStyle w:val="Hyperlink"/>
            <w:rFonts w:ascii="Times New Roman" w:hAnsi="Times New Roman" w:cs="Times New Roman"/>
            <w:lang w:val="lv-LV"/>
          </w:rPr>
          <w:t>Eiropas Parlamenta un Padomes regula (ES) Nr. 1303/2013 (2013. gada 17. 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OV L 347, 20.12.2013, p. 320–469.</w:t>
        </w:r>
      </w:hyperlink>
    </w:p>
  </w:footnote>
  <w:footnote w:id="9">
    <w:p w14:paraId="7296B1B1" w14:textId="7B316135" w:rsidR="003818D0" w:rsidRPr="00A743DD" w:rsidRDefault="003818D0" w:rsidP="00A743DD">
      <w:pPr>
        <w:pStyle w:val="FootnoteText"/>
        <w:jc w:val="both"/>
        <w:rPr>
          <w:rFonts w:ascii="Times New Roman" w:hAnsi="Times New Roman" w:cs="Times New Roman"/>
          <w:lang w:val="lv-LV"/>
        </w:rPr>
      </w:pPr>
      <w:r>
        <w:rPr>
          <w:rStyle w:val="FootnoteReference"/>
        </w:rPr>
        <w:footnoteRef/>
      </w:r>
      <w:r w:rsidRPr="003818D0">
        <w:rPr>
          <w:lang w:val="lv-LV"/>
        </w:rPr>
        <w:t xml:space="preserve"> </w:t>
      </w:r>
      <w:hyperlink r:id="rId8" w:history="1">
        <w:r w:rsidRPr="00A743DD">
          <w:rPr>
            <w:rStyle w:val="Hyperlink"/>
            <w:rFonts w:ascii="Times New Roman" w:hAnsi="Times New Roman" w:cs="Times New Roman"/>
            <w:lang w:val="lv-LV"/>
          </w:rPr>
          <w:t>2016. gada 12. janvāra Ministru kabineta noteikumi Nr. 34</w:t>
        </w:r>
        <w:r w:rsidR="0005062F" w:rsidRPr="00A743DD">
          <w:rPr>
            <w:rStyle w:val="Hyperlink"/>
            <w:rFonts w:ascii="Times New Roman" w:hAnsi="Times New Roman" w:cs="Times New Roman"/>
            <w:lang w:val="lv-LV"/>
          </w:rPr>
          <w:t xml:space="preserve">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un 13.1.2. specifiskā atbalsta mērķa "Atveseļošanas pasākumi izglītības un pētniecības nozarē (ERAF)" 13.1.2.1. pasākuma "Praktiskas ievirzes pētniecība" īstenošanas noteikumi</w:t>
        </w:r>
        <w:r w:rsidR="00B475C6" w:rsidRPr="00A743DD">
          <w:rPr>
            <w:rStyle w:val="Hyperlink"/>
            <w:rFonts w:ascii="Times New Roman" w:hAnsi="Times New Roman" w:cs="Times New Roman"/>
            <w:lang w:val="lv-LV"/>
          </w:rPr>
          <w:t>”</w:t>
        </w:r>
      </w:hyperlink>
    </w:p>
  </w:footnote>
  <w:footnote w:id="10">
    <w:p w14:paraId="47AF50C1" w14:textId="268AEBDD" w:rsidR="006F4B27" w:rsidRPr="00A743DD" w:rsidRDefault="006F4B27" w:rsidP="00A743DD">
      <w:pPr>
        <w:pStyle w:val="FootnoteText"/>
        <w:jc w:val="both"/>
        <w:rPr>
          <w:rFonts w:ascii="Times New Roman" w:hAnsi="Times New Roman" w:cs="Times New Roman"/>
          <w:lang w:val="lv-LV"/>
        </w:rPr>
      </w:pPr>
      <w:r w:rsidRPr="00A743DD">
        <w:rPr>
          <w:rStyle w:val="FootnoteReference"/>
          <w:rFonts w:ascii="Times New Roman" w:hAnsi="Times New Roman" w:cs="Times New Roman"/>
        </w:rPr>
        <w:footnoteRef/>
      </w:r>
      <w:r w:rsidRPr="00A743DD">
        <w:rPr>
          <w:rFonts w:ascii="Times New Roman" w:hAnsi="Times New Roman" w:cs="Times New Roman"/>
          <w:lang w:val="lv-LV"/>
        </w:rPr>
        <w:t xml:space="preserve"> </w:t>
      </w:r>
      <w:hyperlink r:id="rId9" w:history="1">
        <w:r w:rsidRPr="00A743DD">
          <w:rPr>
            <w:rStyle w:val="Hyperlink"/>
            <w:rFonts w:ascii="Times New Roman" w:hAnsi="Times New Roman" w:cs="Times New Roman"/>
            <w:lang w:val="lv-LV"/>
          </w:rPr>
          <w:t>2024. gada 25. jūnija Ministru kabineta noteikumi Nr. 407 “Eiropas Savienības kohēzijas politikas programmas 2021.–2027. gadam 1.1.1. specifiskā atbalsta mērķa "Pētniecības un inovāciju kapacitātes stiprināšana un progresīvu tehnoloģiju ieviešana kopējā P&amp;A sistēmā" 1.1.1.3. pasākuma "Praktiskas ievirzes pētījumi" īstenošanas noteikumi</w:t>
        </w:r>
        <w:r w:rsidR="00BB2A78" w:rsidRPr="00A743DD">
          <w:rPr>
            <w:rStyle w:val="Hyperlink"/>
            <w:rFonts w:ascii="Times New Roman" w:hAnsi="Times New Roman" w:cs="Times New Roman"/>
            <w:lang w:val="lv-LV"/>
          </w:rPr>
          <w:t>”.</w:t>
        </w:r>
      </w:hyperlink>
    </w:p>
  </w:footnote>
  <w:footnote w:id="11">
    <w:p w14:paraId="4B1168DB" w14:textId="5E747AE3" w:rsidR="00102F71" w:rsidRPr="00102F71" w:rsidRDefault="00102F71" w:rsidP="00A743DD">
      <w:pPr>
        <w:pStyle w:val="FootnoteText"/>
        <w:jc w:val="both"/>
        <w:rPr>
          <w:lang w:val="lv-LV"/>
        </w:rPr>
      </w:pPr>
      <w:r w:rsidRPr="00A743DD">
        <w:rPr>
          <w:rStyle w:val="FootnoteReference"/>
          <w:rFonts w:ascii="Times New Roman" w:hAnsi="Times New Roman" w:cs="Times New Roman"/>
        </w:rPr>
        <w:footnoteRef/>
      </w:r>
      <w:r w:rsidRPr="00A743DD">
        <w:rPr>
          <w:rFonts w:ascii="Times New Roman" w:hAnsi="Times New Roman" w:cs="Times New Roman"/>
          <w:lang w:val="lv-LV"/>
        </w:rPr>
        <w:t xml:space="preserve"> </w:t>
      </w:r>
      <w:hyperlink r:id="rId10" w:history="1">
        <w:r w:rsidR="002147DA" w:rsidRPr="00A743DD">
          <w:rPr>
            <w:rStyle w:val="Hyperlink"/>
            <w:rFonts w:ascii="Times New Roman" w:hAnsi="Times New Roman" w:cs="Times New Roman"/>
            <w:lang w:val="lv-LV"/>
          </w:rPr>
          <w:t xml:space="preserve">2016. gada 19. janvāra </w:t>
        </w:r>
        <w:r w:rsidR="00FF2713" w:rsidRPr="00A743DD">
          <w:rPr>
            <w:rStyle w:val="Hyperlink"/>
            <w:rFonts w:ascii="Times New Roman" w:hAnsi="Times New Roman" w:cs="Times New Roman"/>
            <w:lang w:val="lv-LV"/>
          </w:rPr>
          <w:t>Ministru kabineta noteikumi Nr. 50</w:t>
        </w:r>
        <w:r w:rsidR="002147DA" w:rsidRPr="00A743DD">
          <w:rPr>
            <w:rStyle w:val="Hyperlink"/>
            <w:rFonts w:ascii="Times New Roman" w:hAnsi="Times New Roman" w:cs="Times New Roman"/>
            <w:lang w:val="lv-LV"/>
          </w:rPr>
          <w:t xml:space="preserve"> “</w:t>
        </w:r>
        <w:r w:rsidR="00FF2713" w:rsidRPr="00A743DD">
          <w:rPr>
            <w:rStyle w:val="Hyperlink"/>
            <w:rFonts w:ascii="Times New Roman" w:hAnsi="Times New Roman" w:cs="Times New Roman"/>
            <w:lang w:val="lv-LV"/>
          </w:rPr>
          <w:t>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īstenošanas noteikum</w:t>
        </w:r>
        <w:r w:rsidR="002147DA" w:rsidRPr="00A743DD">
          <w:rPr>
            <w:rStyle w:val="Hyperlink"/>
            <w:rFonts w:ascii="Times New Roman" w:hAnsi="Times New Roman" w:cs="Times New Roman"/>
            <w:lang w:val="lv-LV"/>
          </w:rPr>
          <w:t>i”</w:t>
        </w:r>
      </w:hyperlink>
    </w:p>
  </w:footnote>
  <w:footnote w:id="12">
    <w:p w14:paraId="45981D18" w14:textId="613A49D9" w:rsidR="00BC5B62" w:rsidRPr="00A743DD" w:rsidRDefault="00BC5B62" w:rsidP="00A743DD">
      <w:pPr>
        <w:pStyle w:val="FootnoteText"/>
        <w:jc w:val="both"/>
        <w:rPr>
          <w:rFonts w:ascii="Times New Roman" w:hAnsi="Times New Roman" w:cs="Times New Roman"/>
          <w:lang w:val="lv-LV"/>
        </w:rPr>
      </w:pPr>
      <w:r>
        <w:rPr>
          <w:rStyle w:val="FootnoteReference"/>
        </w:rPr>
        <w:footnoteRef/>
      </w:r>
      <w:r w:rsidRPr="00BC5B62">
        <w:rPr>
          <w:lang w:val="lv-LV"/>
        </w:rPr>
        <w:t xml:space="preserve"> </w:t>
      </w:r>
      <w:hyperlink r:id="rId11" w:history="1">
        <w:r w:rsidRPr="00A743DD">
          <w:rPr>
            <w:rStyle w:val="Hyperlink"/>
            <w:rFonts w:ascii="Times New Roman" w:hAnsi="Times New Roman" w:cs="Times New Roman"/>
            <w:lang w:val="lv-LV"/>
          </w:rPr>
          <w:t>2024. gada 9. janvāra Ministru kabineta noteikumi Nr. 35 “Eiropas Savienības kohēzijas politikas programmas 2021.–2027. gadam 1.1.1. specifiskā atbalsta mērķa "Pētniecības un inovāciju kapacitātes stiprināšana un progresīvu tehnoloģiju ieviešana kopējā P&amp;A sistēmā" 1.1.1.9. pasākuma "Pēcdoktorantūras pētījumi" īstenošanas noteikumi.</w:t>
        </w:r>
      </w:hyperlink>
    </w:p>
  </w:footnote>
  <w:footnote w:id="13">
    <w:p w14:paraId="204E61BE" w14:textId="4F696DDF" w:rsidR="000F7279" w:rsidRPr="00A743DD" w:rsidRDefault="000F7279" w:rsidP="00A743DD">
      <w:pPr>
        <w:pStyle w:val="FootnoteText"/>
        <w:jc w:val="both"/>
        <w:rPr>
          <w:rFonts w:ascii="Times New Roman" w:hAnsi="Times New Roman" w:cs="Times New Roman"/>
          <w:lang w:val="lv-LV"/>
        </w:rPr>
      </w:pPr>
      <w:r w:rsidRPr="00A743DD">
        <w:rPr>
          <w:rStyle w:val="FootnoteReference"/>
          <w:rFonts w:ascii="Times New Roman" w:hAnsi="Times New Roman" w:cs="Times New Roman"/>
        </w:rPr>
        <w:footnoteRef/>
      </w:r>
      <w:r w:rsidRPr="00A743DD">
        <w:rPr>
          <w:rFonts w:ascii="Times New Roman" w:hAnsi="Times New Roman" w:cs="Times New Roman"/>
          <w:lang w:val="lv-LV"/>
        </w:rPr>
        <w:t xml:space="preserve"> </w:t>
      </w:r>
      <w:hyperlink r:id="rId12" w:history="1">
        <w:r w:rsidRPr="00A743DD">
          <w:rPr>
            <w:rStyle w:val="Hyperlink"/>
            <w:rFonts w:ascii="Times New Roman" w:hAnsi="Times New Roman" w:cs="Times New Roman"/>
            <w:lang w:val="lv-LV"/>
          </w:rPr>
          <w:t>Eiropas Parlamenta un Padomes Regula (ES) 2021/695 (2021. gada 28. aprīlis), ar ko izveido pētniecības un inovācijas pamatprogrammu “Apvārsnis Eiropa”, nosaka tās dalības un rezultātu izplatīšanas noteikumus un atceļ Regulas (ES) Nr. 1290/2013 un (ES) Nr. 1291/2013 (Dokuments attiecas uz EEZ). OV L 170, 12.5.2021, p. 1–68.</w:t>
        </w:r>
      </w:hyperlink>
    </w:p>
  </w:footnote>
  <w:footnote w:id="14">
    <w:p w14:paraId="025A92A4" w14:textId="77777777" w:rsidR="00351C6B" w:rsidRPr="00A743DD" w:rsidRDefault="00351C6B" w:rsidP="00A743DD">
      <w:pPr>
        <w:pStyle w:val="FootnoteText"/>
        <w:jc w:val="both"/>
        <w:rPr>
          <w:rFonts w:ascii="Times New Roman" w:hAnsi="Times New Roman" w:cs="Times New Roman"/>
          <w:lang w:val="lv-LV"/>
        </w:rPr>
      </w:pPr>
      <w:r w:rsidRPr="00A743DD">
        <w:rPr>
          <w:rStyle w:val="FootnoteReference"/>
          <w:rFonts w:ascii="Times New Roman" w:hAnsi="Times New Roman" w:cs="Times New Roman"/>
        </w:rPr>
        <w:footnoteRef/>
      </w:r>
      <w:r w:rsidRPr="00A743DD">
        <w:rPr>
          <w:rFonts w:ascii="Times New Roman" w:hAnsi="Times New Roman" w:cs="Times New Roman"/>
          <w:lang w:val="lv-LV"/>
        </w:rPr>
        <w:t xml:space="preserve"> </w:t>
      </w:r>
      <w:hyperlink r:id="rId13" w:history="1">
        <w:r w:rsidRPr="00A743DD">
          <w:rPr>
            <w:rStyle w:val="Hyperlink"/>
            <w:rFonts w:ascii="Times New Roman" w:hAnsi="Times New Roman" w:cs="Times New Roman"/>
            <w:lang w:val="lv-LV"/>
          </w:rPr>
          <w:t>2015. gada 26. maija Ministru kabineta noteikumi Nr.259 “Atbalsta piešķiršanas kārtība dalībai starptautiskās sadarbības programmās pētniecības un tehnoloģiju jomā”</w:t>
        </w:r>
      </w:hyperlink>
    </w:p>
  </w:footnote>
  <w:footnote w:id="15">
    <w:p w14:paraId="5869D87D" w14:textId="77777777" w:rsidR="002C58E1" w:rsidRPr="009D6469" w:rsidRDefault="002C58E1" w:rsidP="009D6469">
      <w:pPr>
        <w:pStyle w:val="FootnoteText"/>
        <w:jc w:val="both"/>
        <w:rPr>
          <w:rFonts w:ascii="Times New Roman" w:hAnsi="Times New Roman" w:cs="Times New Roman"/>
          <w:lang w:val="lv-LV"/>
        </w:rPr>
      </w:pPr>
      <w:r w:rsidRPr="00A743DD">
        <w:rPr>
          <w:rStyle w:val="FootnoteReference"/>
          <w:rFonts w:ascii="Times New Roman" w:hAnsi="Times New Roman" w:cs="Times New Roman"/>
        </w:rPr>
        <w:footnoteRef/>
      </w:r>
      <w:r w:rsidRPr="00A743DD">
        <w:rPr>
          <w:rFonts w:ascii="Times New Roman" w:hAnsi="Times New Roman" w:cs="Times New Roman"/>
          <w:lang w:val="lv-LV"/>
        </w:rPr>
        <w:t xml:space="preserve"> </w:t>
      </w:r>
      <w:hyperlink r:id="rId14" w:history="1">
        <w:r w:rsidRPr="009D6469">
          <w:rPr>
            <w:rStyle w:val="Hyperlink"/>
            <w:rFonts w:ascii="Times New Roman" w:hAnsi="Times New Roman" w:cs="Times New Roman"/>
            <w:lang w:val="lv-LV"/>
          </w:rPr>
          <w:t>2015. gada 26. maija Ministru kabineta noteikumi Nr.259 “Atbalsta piešķiršanas kārtība dalībai starptautiskās sadarbības programmās pētniecības un tehnoloģiju jomā”</w:t>
        </w:r>
      </w:hyperlink>
    </w:p>
  </w:footnote>
  <w:footnote w:id="16">
    <w:p w14:paraId="7FCCF784" w14:textId="77777777" w:rsidR="003C6A70" w:rsidRPr="009D6469" w:rsidRDefault="003C6A70" w:rsidP="009D6469">
      <w:pPr>
        <w:pStyle w:val="FootnoteText"/>
        <w:jc w:val="both"/>
        <w:rPr>
          <w:rFonts w:ascii="Times New Roman" w:hAnsi="Times New Roman" w:cs="Times New Roman"/>
          <w:lang w:val="lv-LV"/>
        </w:rPr>
      </w:pPr>
      <w:r w:rsidRPr="009D6469">
        <w:rPr>
          <w:rStyle w:val="FootnoteReference"/>
          <w:rFonts w:ascii="Times New Roman" w:hAnsi="Times New Roman" w:cs="Times New Roman"/>
        </w:rPr>
        <w:footnoteRef/>
      </w:r>
      <w:r w:rsidRPr="009D6469">
        <w:rPr>
          <w:rFonts w:ascii="Times New Roman" w:hAnsi="Times New Roman" w:cs="Times New Roman"/>
          <w:lang w:val="lv-LV"/>
        </w:rPr>
        <w:t xml:space="preserve"> </w:t>
      </w:r>
      <w:hyperlink r:id="rId15" w:history="1">
        <w:r w:rsidRPr="009D6469">
          <w:rPr>
            <w:rStyle w:val="Hyperlink"/>
            <w:rFonts w:ascii="Times New Roman" w:hAnsi="Times New Roman" w:cs="Times New Roman"/>
            <w:lang w:val="lv-LV"/>
          </w:rPr>
          <w:t>2016. gada 12. janvāra Ministru kabineta noteikumi Nr. 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un 13.1.2. specifiskā atbalsta mērķa "Atveseļošanas pasākumi izglītības un pētniecības nozarē (ERAF)" 13.1.2.1. pasākuma "Praktiskas ievirzes pētniecība" īstenošanas noteikumi”</w:t>
        </w:r>
      </w:hyperlink>
    </w:p>
  </w:footnote>
  <w:footnote w:id="17">
    <w:p w14:paraId="40E215B3" w14:textId="77777777" w:rsidR="005B1027" w:rsidRPr="009D6469" w:rsidRDefault="005B1027" w:rsidP="009D6469">
      <w:pPr>
        <w:pStyle w:val="FootnoteText"/>
        <w:jc w:val="both"/>
        <w:rPr>
          <w:rFonts w:ascii="Times New Roman" w:hAnsi="Times New Roman" w:cs="Times New Roman"/>
          <w:lang w:val="lv-LV"/>
        </w:rPr>
      </w:pPr>
      <w:r w:rsidRPr="009D6469">
        <w:rPr>
          <w:rStyle w:val="FootnoteReference"/>
          <w:rFonts w:ascii="Times New Roman" w:hAnsi="Times New Roman" w:cs="Times New Roman"/>
        </w:rPr>
        <w:footnoteRef/>
      </w:r>
      <w:r w:rsidRPr="009D6469">
        <w:rPr>
          <w:rFonts w:ascii="Times New Roman" w:hAnsi="Times New Roman" w:cs="Times New Roman"/>
          <w:lang w:val="lv-LV"/>
        </w:rPr>
        <w:t xml:space="preserve"> </w:t>
      </w:r>
      <w:hyperlink r:id="rId16" w:history="1">
        <w:r w:rsidRPr="009D6469">
          <w:rPr>
            <w:rStyle w:val="Hyperlink"/>
            <w:rFonts w:ascii="Times New Roman" w:hAnsi="Times New Roman" w:cs="Times New Roman"/>
            <w:lang w:val="lv-LV"/>
          </w:rPr>
          <w:t>2024. gada 25. jūnija Ministru kabineta noteikumi Nr. 407 “Eiropas Savienības kohēzijas politikas programmas 2021.–2027. gadam 1.1.1. specifiskā atbalsta mērķa "Pētniecības un inovāciju kapacitātes stiprināšana un progresīvu tehnoloģiju ieviešana kopējā P&amp;A sistēmā" 1.1.1.3. pasākuma "Praktiskas ievirzes pētījumi" īstenošanas noteikumi”.</w:t>
        </w:r>
      </w:hyperlink>
    </w:p>
  </w:footnote>
  <w:footnote w:id="18">
    <w:p w14:paraId="327B3914" w14:textId="0EAAAE65" w:rsidR="004005EC" w:rsidRPr="007A55A2" w:rsidRDefault="004005EC" w:rsidP="007A55A2">
      <w:pPr>
        <w:pStyle w:val="FootnoteText"/>
        <w:jc w:val="both"/>
        <w:rPr>
          <w:lang w:val="lv-LV"/>
        </w:rPr>
      </w:pPr>
      <w:r>
        <w:rPr>
          <w:rStyle w:val="FootnoteReference"/>
        </w:rPr>
        <w:footnoteRef/>
      </w:r>
      <w:r w:rsidRPr="007A55A2">
        <w:rPr>
          <w:lang w:val="lv-LV"/>
        </w:rPr>
        <w:t xml:space="preserve"> </w:t>
      </w:r>
      <w:r w:rsidR="00C13580" w:rsidRPr="007A55A2">
        <w:rPr>
          <w:rFonts w:ascii="Times New Roman" w:hAnsi="Times New Roman" w:cs="Times New Roman"/>
          <w:lang w:val="lv-LV"/>
        </w:rPr>
        <w:t>Ilgtermiņa valsts pētījumu programmas “Inovāciju fonds – ilgtermiņa pētījumu programma” .platformas pieteikumu atklātā konkursa nolikums</w:t>
      </w:r>
    </w:p>
  </w:footnote>
  <w:footnote w:id="19">
    <w:p w14:paraId="30F34750" w14:textId="6C69A7FB" w:rsidR="008231DA" w:rsidRPr="007A55A2" w:rsidRDefault="008231DA" w:rsidP="007A55A2">
      <w:pPr>
        <w:pStyle w:val="FootnoteText"/>
        <w:jc w:val="both"/>
        <w:rPr>
          <w:lang w:val="lv-LV"/>
        </w:rPr>
      </w:pPr>
      <w:r>
        <w:rPr>
          <w:rStyle w:val="FootnoteReference"/>
        </w:rPr>
        <w:footnoteRef/>
      </w:r>
      <w:r w:rsidRPr="007A55A2">
        <w:rPr>
          <w:lang w:val="lv-LV"/>
        </w:rPr>
        <w:t xml:space="preserve"> </w:t>
      </w:r>
      <w:r w:rsidR="00DB5BA6" w:rsidRPr="007A55A2">
        <w:rPr>
          <w:rFonts w:ascii="Times New Roman" w:hAnsi="Times New Roman" w:cs="Times New Roman"/>
          <w:lang w:val="lv-LV"/>
        </w:rPr>
        <w:t>2023. gada 6. jūnija Ministru kabineta noteikumi Nr. 277 “Grozījumi Ministru kabineta 2018. gada 4. septembra noteikumos Nr. 560 "Valsts pētījumu programmu projektu īstenošanas kārtība</w:t>
      </w:r>
    </w:p>
  </w:footnote>
  <w:footnote w:id="20">
    <w:p w14:paraId="7C20B54F" w14:textId="77777777" w:rsidR="00EE786D" w:rsidRPr="009D6469" w:rsidRDefault="00EE786D" w:rsidP="009D6469">
      <w:pPr>
        <w:pStyle w:val="FootnoteText"/>
        <w:jc w:val="both"/>
        <w:rPr>
          <w:rFonts w:ascii="Times New Roman" w:hAnsi="Times New Roman" w:cs="Times New Roman"/>
          <w:lang w:val="lv-LV"/>
        </w:rPr>
      </w:pPr>
      <w:r w:rsidRPr="009D6469">
        <w:rPr>
          <w:rStyle w:val="FootnoteReference"/>
          <w:rFonts w:ascii="Times New Roman" w:hAnsi="Times New Roman" w:cs="Times New Roman"/>
        </w:rPr>
        <w:footnoteRef/>
      </w:r>
      <w:r w:rsidRPr="009D6469">
        <w:rPr>
          <w:rFonts w:ascii="Times New Roman" w:hAnsi="Times New Roman" w:cs="Times New Roman"/>
          <w:lang w:val="lv-LV"/>
        </w:rPr>
        <w:t xml:space="preserve"> </w:t>
      </w:r>
      <w:hyperlink r:id="rId17" w:history="1">
        <w:r w:rsidRPr="009D6469">
          <w:rPr>
            <w:rStyle w:val="Hyperlink"/>
            <w:rFonts w:ascii="Times New Roman" w:hAnsi="Times New Roman" w:cs="Times New Roman"/>
            <w:lang w:val="lv-LV"/>
          </w:rPr>
          <w:t>2024. gada 6. februāra Ministru kabineta noteikumi Nr. 94 “Grozījumi Ministru kabineta 2018. gada 4. septembra noteikumos Nr. 560 "Valsts pētījumu programmu projektu īstenošanas kārtība</w:t>
        </w:r>
      </w:hyperlink>
      <w:r w:rsidRPr="009D6469">
        <w:rPr>
          <w:rFonts w:ascii="Times New Roman" w:hAnsi="Times New Roman" w:cs="Times New Roman"/>
          <w:lang w:val="lv-LV"/>
        </w:rPr>
        <w:t>”</w:t>
      </w:r>
    </w:p>
  </w:footnote>
  <w:footnote w:id="21">
    <w:p w14:paraId="4EB13484" w14:textId="77777777" w:rsidR="00191463" w:rsidRPr="006A7B1D" w:rsidRDefault="00191463" w:rsidP="00191463">
      <w:pPr>
        <w:pStyle w:val="FootnoteText"/>
        <w:jc w:val="both"/>
        <w:rPr>
          <w:lang w:val="lv-LV"/>
        </w:rPr>
      </w:pPr>
      <w:r>
        <w:rPr>
          <w:rStyle w:val="FootnoteReference"/>
        </w:rPr>
        <w:footnoteRef/>
      </w:r>
      <w:r w:rsidRPr="006A7B1D">
        <w:rPr>
          <w:lang w:val="lv-LV"/>
        </w:rPr>
        <w:t xml:space="preserve"> </w:t>
      </w:r>
      <w:hyperlink r:id="rId18" w:history="1">
        <w:r w:rsidRPr="00CC3B6D">
          <w:rPr>
            <w:rStyle w:val="Hyperlink"/>
            <w:rFonts w:ascii="Times New Roman" w:hAnsi="Times New Roman" w:cs="Times New Roman"/>
            <w:lang w:val="lv-LV"/>
          </w:rPr>
          <w:t>2024. gada 18. jūnijā Ministru kabineta rīkojums Nr. 474 “Par ilgtermiņa valsts pētījumu programmu "Inovāciju fonds – ilgtermiņa pētījumu programma"</w:t>
        </w:r>
      </w:hyperlink>
    </w:p>
  </w:footnote>
  <w:footnote w:id="22">
    <w:p w14:paraId="352B993E" w14:textId="26734DA8" w:rsidR="00A63B7A" w:rsidRPr="00974898" w:rsidRDefault="00A63B7A" w:rsidP="00B37142">
      <w:pPr>
        <w:pStyle w:val="FootnoteText"/>
        <w:jc w:val="both"/>
        <w:rPr>
          <w:lang w:val="lv-LV"/>
        </w:rPr>
      </w:pPr>
      <w:r w:rsidRPr="00A63B7A">
        <w:rPr>
          <w:rStyle w:val="FootnoteReference"/>
          <w:rFonts w:ascii="Times New Roman" w:hAnsi="Times New Roman" w:cs="Times New Roman"/>
        </w:rPr>
        <w:footnoteRef/>
      </w:r>
      <w:r w:rsidRPr="00974898">
        <w:rPr>
          <w:rFonts w:ascii="Times New Roman" w:hAnsi="Times New Roman" w:cs="Times New Roman"/>
          <w:lang w:val="lv-LV"/>
        </w:rPr>
        <w:t xml:space="preserve"> </w:t>
      </w:r>
      <w:hyperlink r:id="rId19" w:history="1">
        <w:r w:rsidR="00974898" w:rsidRPr="0018405B">
          <w:rPr>
            <w:rStyle w:val="Hyperlink"/>
            <w:rFonts w:ascii="Times New Roman" w:hAnsi="Times New Roman" w:cs="Times New Roman"/>
            <w:lang w:val="lv-LV"/>
          </w:rPr>
          <w:t>2016. gada 25</w:t>
        </w:r>
        <w:r w:rsidR="0018405B">
          <w:rPr>
            <w:rStyle w:val="Hyperlink"/>
            <w:rFonts w:ascii="Times New Roman" w:hAnsi="Times New Roman" w:cs="Times New Roman"/>
            <w:lang w:val="lv-LV"/>
          </w:rPr>
          <w:t>.</w:t>
        </w:r>
        <w:r w:rsidR="00974898" w:rsidRPr="0018405B">
          <w:rPr>
            <w:rStyle w:val="Hyperlink"/>
            <w:rFonts w:ascii="Times New Roman" w:hAnsi="Times New Roman" w:cs="Times New Roman"/>
            <w:lang w:val="lv-LV"/>
          </w:rPr>
          <w:t xml:space="preserve"> oktobra </w:t>
        </w:r>
        <w:r w:rsidRPr="0018405B">
          <w:rPr>
            <w:rStyle w:val="Hyperlink"/>
            <w:rFonts w:ascii="Times New Roman" w:hAnsi="Times New Roman" w:cs="Times New Roman"/>
            <w:lang w:val="lv-LV"/>
          </w:rPr>
          <w:t>Ministru kabineta noteikumi Nr. 692</w:t>
        </w:r>
        <w:r w:rsidR="00974898" w:rsidRPr="0018405B">
          <w:rPr>
            <w:rStyle w:val="Hyperlink"/>
            <w:rFonts w:ascii="Times New Roman" w:hAnsi="Times New Roman" w:cs="Times New Roman"/>
            <w:lang w:val="lv-LV"/>
          </w:rPr>
          <w:t xml:space="preserve"> “</w:t>
        </w:r>
        <w:r w:rsidRPr="0018405B">
          <w:rPr>
            <w:rStyle w:val="Hyperlink"/>
            <w:rFonts w:ascii="Times New Roman" w:hAnsi="Times New Roman" w:cs="Times New Roman"/>
            <w:lang w:val="lv-LV"/>
          </w:rPr>
          <w:t>Darbības programmas "Izaugsme un nodarbinātība" 1.2.1. specifiskā atbalsta mērķa "Palielināt privātā sektora investīcijas P&amp;A" 1.2.1.2. pasākuma "Atbalsts tehnoloģiju pārneses sistēmas pilnveidošanai" īstenošanas noteikumi</w:t>
        </w:r>
        <w:r w:rsidR="0018405B" w:rsidRPr="0018405B">
          <w:rPr>
            <w:rStyle w:val="Hyperlink"/>
            <w:rFonts w:ascii="Times New Roman" w:hAnsi="Times New Roman" w:cs="Times New Roman"/>
            <w:lang w:val="lv-LV"/>
          </w:rPr>
          <w:t>”.</w:t>
        </w:r>
      </w:hyperlink>
    </w:p>
  </w:footnote>
  <w:footnote w:id="23">
    <w:p w14:paraId="5B7CC6B1" w14:textId="6E7BE81A" w:rsidR="005A5EEB" w:rsidRPr="004C1069" w:rsidRDefault="005A5EEB" w:rsidP="00B37142">
      <w:pPr>
        <w:pStyle w:val="FootnoteText"/>
        <w:jc w:val="both"/>
        <w:rPr>
          <w:lang w:val="lv-LV"/>
        </w:rPr>
      </w:pPr>
      <w:r>
        <w:rPr>
          <w:rStyle w:val="FootnoteReference"/>
        </w:rPr>
        <w:footnoteRef/>
      </w:r>
      <w:r w:rsidRPr="004C1069">
        <w:rPr>
          <w:lang w:val="lv-LV"/>
        </w:rPr>
        <w:t xml:space="preserve"> </w:t>
      </w:r>
      <w:hyperlink r:id="rId20" w:history="1">
        <w:r w:rsidR="004C1069" w:rsidRPr="005253DD">
          <w:rPr>
            <w:rStyle w:val="Hyperlink"/>
            <w:rFonts w:ascii="Times New Roman" w:hAnsi="Times New Roman" w:cs="Times New Roman"/>
            <w:lang w:val="lv-LV"/>
          </w:rPr>
          <w:t xml:space="preserve">2023. gada 7. novembra </w:t>
        </w:r>
        <w:r w:rsidRPr="005253DD">
          <w:rPr>
            <w:rStyle w:val="Hyperlink"/>
            <w:rFonts w:ascii="Times New Roman" w:hAnsi="Times New Roman" w:cs="Times New Roman"/>
            <w:lang w:val="lv-LV"/>
          </w:rPr>
          <w:t>Ministru kabineta noteikumi Nr. 644</w:t>
        </w:r>
        <w:r w:rsidR="004C1069" w:rsidRPr="005253DD">
          <w:rPr>
            <w:rStyle w:val="Hyperlink"/>
            <w:rFonts w:ascii="Times New Roman" w:hAnsi="Times New Roman" w:cs="Times New Roman"/>
            <w:lang w:val="lv-LV"/>
          </w:rPr>
          <w:t xml:space="preserve"> “</w:t>
        </w:r>
        <w:r w:rsidRPr="005253DD">
          <w:rPr>
            <w:rStyle w:val="Hyperlink"/>
            <w:rFonts w:ascii="Times New Roman" w:hAnsi="Times New Roman" w:cs="Times New Roman"/>
            <w:lang w:val="lv-LV"/>
          </w:rPr>
          <w:t>Eiropas Savienības kohēzijas politikas programmas 2021.–2027. gadam 1.2.1. specifiskā atbalsta mērķa "Pētniecības un inovāciju kapacitātes stiprināšana un progresīvu tehnoloģiju ieviešana uzņēmumiem" 1.2.1.4. pasākuma "Atbalsts tehnoloģiju pārneses sistēmas pilnveidošanai" īstenošanas noteikumi</w:t>
        </w:r>
        <w:r w:rsidR="004C1069" w:rsidRPr="005253DD">
          <w:rPr>
            <w:rStyle w:val="Hyperlink"/>
            <w:rFonts w:ascii="Times New Roman" w:hAnsi="Times New Roman" w:cs="Times New Roman"/>
            <w:lang w:val="lv-LV"/>
          </w:rPr>
          <w:t>”.</w:t>
        </w:r>
      </w:hyperlink>
    </w:p>
  </w:footnote>
  <w:footnote w:id="24">
    <w:p w14:paraId="079964B0" w14:textId="77777777" w:rsidR="00A56DB8" w:rsidRPr="000E42B1" w:rsidRDefault="00A56DB8" w:rsidP="00A56DB8">
      <w:pPr>
        <w:pStyle w:val="FootnoteText"/>
        <w:jc w:val="both"/>
        <w:rPr>
          <w:rFonts w:ascii="Times New Roman" w:hAnsi="Times New Roman" w:cs="Times New Roman"/>
          <w:lang w:val="lv-LV"/>
        </w:rPr>
      </w:pPr>
      <w:r>
        <w:rPr>
          <w:rStyle w:val="FootnoteReference"/>
        </w:rPr>
        <w:footnoteRef/>
      </w:r>
      <w:r w:rsidRPr="000E42B1">
        <w:rPr>
          <w:lang w:val="lv-LV"/>
        </w:rPr>
        <w:t xml:space="preserve"> </w:t>
      </w:r>
      <w:hyperlink r:id="rId21" w:history="1">
        <w:r w:rsidRPr="00040F4A">
          <w:rPr>
            <w:rStyle w:val="Hyperlink"/>
            <w:rFonts w:ascii="Times New Roman" w:hAnsi="Times New Roman" w:cs="Times New Roman"/>
            <w:lang w:val="lv-LV"/>
          </w:rPr>
          <w:t>2023. gada 27. jūnija Ministru kabineta noteikumi Nr. 350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īstenošanas noteikumi”.</w:t>
        </w:r>
      </w:hyperlink>
    </w:p>
  </w:footnote>
  <w:footnote w:id="25">
    <w:p w14:paraId="22B86BE9" w14:textId="77777777" w:rsidR="00A56DB8" w:rsidRPr="00E53B02" w:rsidRDefault="00A56DB8" w:rsidP="00A56DB8">
      <w:pPr>
        <w:pStyle w:val="FootnoteText"/>
        <w:jc w:val="both"/>
        <w:rPr>
          <w:lang w:val="lv-LV"/>
        </w:rPr>
      </w:pPr>
      <w:r>
        <w:rPr>
          <w:rStyle w:val="FootnoteReference"/>
        </w:rPr>
        <w:footnoteRef/>
      </w:r>
      <w:r w:rsidRPr="00E53B02">
        <w:rPr>
          <w:lang w:val="lv-LV"/>
        </w:rPr>
        <w:t xml:space="preserve"> </w:t>
      </w:r>
      <w:hyperlink r:id="rId22" w:history="1">
        <w:r w:rsidRPr="007A55A2">
          <w:rPr>
            <w:rStyle w:val="Hyperlink"/>
            <w:rFonts w:ascii="Times New Roman" w:hAnsi="Times New Roman" w:cs="Times New Roman"/>
            <w:lang w:val="lv-LV"/>
          </w:rPr>
          <w:t>2022. gada 15. novembra Ministru kabineta noteikumi Nr. 722 “Valsts un Eiropas Savienības atbalsta piešķiršanas kārtība pasākumā "Inovācija, pilotprojekti, sadarbība ar zinātni zvejniecībā, akvakultūrā un apstrādē un zināšanu pārnese akvakultūrā"</w:t>
        </w:r>
      </w:hyperlink>
    </w:p>
  </w:footnote>
  <w:footnote w:id="26">
    <w:p w14:paraId="31464746" w14:textId="77777777" w:rsidR="00D0047C" w:rsidRPr="00C65285" w:rsidRDefault="00D0047C" w:rsidP="00D0047C">
      <w:pPr>
        <w:pStyle w:val="FootnoteText"/>
        <w:jc w:val="both"/>
        <w:rPr>
          <w:rFonts w:ascii="Times New Roman" w:hAnsi="Times New Roman" w:cs="Times New Roman"/>
          <w:lang w:val="lv-LV"/>
        </w:rPr>
      </w:pPr>
      <w:r>
        <w:rPr>
          <w:rStyle w:val="FootnoteReference"/>
        </w:rPr>
        <w:footnoteRef/>
      </w:r>
      <w:r w:rsidRPr="008E5175">
        <w:rPr>
          <w:lang w:val="lv-LV"/>
        </w:rPr>
        <w:t xml:space="preserve"> </w:t>
      </w:r>
      <w:r w:rsidRPr="00C65285">
        <w:rPr>
          <w:rFonts w:ascii="Times New Roman" w:hAnsi="Times New Roman" w:cs="Times New Roman"/>
          <w:lang w:val="lv-LV"/>
        </w:rPr>
        <w:t xml:space="preserve">Izmantots Latvijas Investīciju un attīstības aģentūrās portālā pieejams pašreizējā plānošanas perioda programmas atbalstāmo darbību uzskatījums </w:t>
      </w:r>
      <w:hyperlink r:id="rId23" w:history="1">
        <w:r w:rsidRPr="00C65285">
          <w:rPr>
            <w:rStyle w:val="Hyperlink"/>
            <w:rFonts w:ascii="Times New Roman" w:hAnsi="Times New Roman" w:cs="Times New Roman"/>
            <w:lang w:val="lv-LV"/>
          </w:rPr>
          <w:t>https://www.liaa.gov.lv/lv/programmas/komercializacijas-atbalsts</w:t>
        </w:r>
      </w:hyperlink>
      <w:r w:rsidRPr="00C65285">
        <w:rPr>
          <w:rFonts w:ascii="Times New Roman" w:hAnsi="Times New Roman" w:cs="Times New Roman"/>
          <w:lang w:val="lv-LV"/>
        </w:rPr>
        <w:t>, skatīts 16.10.2025.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73ED" w14:textId="77777777" w:rsidR="00015BBA" w:rsidRDefault="00015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106798"/>
      <w:docPartObj>
        <w:docPartGallery w:val="Page Numbers (Top of Page)"/>
        <w:docPartUnique/>
      </w:docPartObj>
    </w:sdtPr>
    <w:sdtEndPr>
      <w:rPr>
        <w:rFonts w:ascii="Times New Roman" w:hAnsi="Times New Roman" w:cs="Times New Roman"/>
        <w:noProof/>
      </w:rPr>
    </w:sdtEndPr>
    <w:sdtContent>
      <w:p w14:paraId="3008E383" w14:textId="45587FBB" w:rsidR="00B5516E" w:rsidRPr="009031DF" w:rsidRDefault="00B5516E">
        <w:pPr>
          <w:pStyle w:val="Header"/>
          <w:jc w:val="center"/>
          <w:rPr>
            <w:rFonts w:ascii="Times New Roman" w:hAnsi="Times New Roman" w:cs="Times New Roman"/>
          </w:rPr>
        </w:pPr>
        <w:r w:rsidRPr="009031DF">
          <w:rPr>
            <w:rFonts w:ascii="Times New Roman" w:hAnsi="Times New Roman" w:cs="Times New Roman"/>
          </w:rPr>
          <w:fldChar w:fldCharType="begin"/>
        </w:r>
        <w:r w:rsidRPr="009031DF">
          <w:rPr>
            <w:rFonts w:ascii="Times New Roman" w:hAnsi="Times New Roman" w:cs="Times New Roman"/>
          </w:rPr>
          <w:instrText xml:space="preserve"> PAGE   \* MERGEFORMAT </w:instrText>
        </w:r>
        <w:r w:rsidRPr="009031DF">
          <w:rPr>
            <w:rFonts w:ascii="Times New Roman" w:hAnsi="Times New Roman" w:cs="Times New Roman"/>
          </w:rPr>
          <w:fldChar w:fldCharType="separate"/>
        </w:r>
        <w:r w:rsidRPr="009031DF">
          <w:rPr>
            <w:rFonts w:ascii="Times New Roman" w:hAnsi="Times New Roman" w:cs="Times New Roman"/>
            <w:noProof/>
          </w:rPr>
          <w:t>2</w:t>
        </w:r>
        <w:r w:rsidRPr="009031DF">
          <w:rPr>
            <w:rFonts w:ascii="Times New Roman" w:hAnsi="Times New Roman" w:cs="Times New Roman"/>
            <w:noProof/>
          </w:rPr>
          <w:fldChar w:fldCharType="end"/>
        </w:r>
      </w:p>
    </w:sdtContent>
  </w:sdt>
  <w:p w14:paraId="4A5B92A4" w14:textId="77777777" w:rsidR="00B5516E" w:rsidRDefault="00B55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68D7" w14:textId="77777777" w:rsidR="00015BBA" w:rsidRDefault="00015BBA" w:rsidP="00015BBA">
    <w:pPr>
      <w:spacing w:after="0"/>
      <w:jc w:val="right"/>
      <w:rPr>
        <w:rFonts w:ascii="Times New Roman" w:hAnsi="Times New Roman" w:cs="Times New Roman"/>
        <w:lang w:val="lv-LV"/>
      </w:rPr>
    </w:pPr>
    <w:r>
      <w:rPr>
        <w:rFonts w:ascii="Times New Roman" w:hAnsi="Times New Roman" w:cs="Times New Roman"/>
        <w:lang w:val="lv-LV"/>
      </w:rPr>
      <w:t xml:space="preserve">Apstiprināts ar </w:t>
    </w:r>
  </w:p>
  <w:p w14:paraId="0985B8D4" w14:textId="77777777" w:rsidR="00015BBA" w:rsidRDefault="00015BBA" w:rsidP="00015BBA">
    <w:pPr>
      <w:spacing w:after="0"/>
      <w:jc w:val="right"/>
      <w:rPr>
        <w:rFonts w:ascii="Times New Roman" w:hAnsi="Times New Roman" w:cs="Times New Roman"/>
        <w:lang w:val="lv-LV"/>
      </w:rPr>
    </w:pPr>
    <w:r>
      <w:rPr>
        <w:rFonts w:ascii="Times New Roman" w:hAnsi="Times New Roman" w:cs="Times New Roman"/>
        <w:lang w:val="lv-LV"/>
      </w:rPr>
      <w:t>Latvijas Zinātnes padomes</w:t>
    </w:r>
  </w:p>
  <w:p w14:paraId="6A1063BF" w14:textId="5DEC78A1" w:rsidR="00015BBA" w:rsidRDefault="00545E0A" w:rsidP="00015BBA">
    <w:pPr>
      <w:spacing w:after="0"/>
      <w:jc w:val="right"/>
      <w:rPr>
        <w:rFonts w:ascii="Times New Roman" w:hAnsi="Times New Roman" w:cs="Times New Roman"/>
        <w:lang w:val="lv-LV"/>
      </w:rPr>
    </w:pPr>
    <w:r>
      <w:rPr>
        <w:rFonts w:ascii="Times New Roman" w:hAnsi="Times New Roman" w:cs="Times New Roman"/>
        <w:lang w:val="lv-LV"/>
      </w:rPr>
      <w:t>27.10.2025</w:t>
    </w:r>
    <w:r w:rsidR="00015BBA">
      <w:rPr>
        <w:rFonts w:ascii="Times New Roman" w:hAnsi="Times New Roman" w:cs="Times New Roman"/>
        <w:lang w:val="lv-LV"/>
      </w:rPr>
      <w:t xml:space="preserve">. rīkojumu Nr. </w:t>
    </w:r>
    <w:r>
      <w:rPr>
        <w:rFonts w:ascii="Times New Roman" w:hAnsi="Times New Roman" w:cs="Times New Roman"/>
        <w:lang w:val="lv-LV"/>
      </w:rPr>
      <w:t>1-13/107</w:t>
    </w:r>
  </w:p>
  <w:p w14:paraId="4C39596B" w14:textId="77777777" w:rsidR="00015BBA" w:rsidRDefault="00015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A5F"/>
    <w:multiLevelType w:val="hybridMultilevel"/>
    <w:tmpl w:val="17F6A88E"/>
    <w:lvl w:ilvl="0" w:tplc="C8060DB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50DA9"/>
    <w:multiLevelType w:val="hybridMultilevel"/>
    <w:tmpl w:val="473E8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64475"/>
    <w:multiLevelType w:val="hybridMultilevel"/>
    <w:tmpl w:val="1172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B3ECB"/>
    <w:multiLevelType w:val="multilevel"/>
    <w:tmpl w:val="503C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083F01"/>
    <w:multiLevelType w:val="hybridMultilevel"/>
    <w:tmpl w:val="17AED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83371"/>
    <w:multiLevelType w:val="hybridMultilevel"/>
    <w:tmpl w:val="DFA8A9F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253087"/>
    <w:multiLevelType w:val="multilevel"/>
    <w:tmpl w:val="E432DE82"/>
    <w:lvl w:ilvl="0">
      <w:start w:val="1"/>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4B557A"/>
    <w:multiLevelType w:val="hybridMultilevel"/>
    <w:tmpl w:val="4894CB46"/>
    <w:lvl w:ilvl="0" w:tplc="267846B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38765193"/>
    <w:multiLevelType w:val="hybridMultilevel"/>
    <w:tmpl w:val="967EDB48"/>
    <w:lvl w:ilvl="0" w:tplc="288AB38C">
      <w:start w:val="201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7494B"/>
    <w:multiLevelType w:val="hybridMultilevel"/>
    <w:tmpl w:val="4F6C608A"/>
    <w:lvl w:ilvl="0" w:tplc="9EBAE8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04736"/>
    <w:multiLevelType w:val="hybridMultilevel"/>
    <w:tmpl w:val="63228D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4E17FD"/>
    <w:multiLevelType w:val="hybridMultilevel"/>
    <w:tmpl w:val="27B49AEC"/>
    <w:lvl w:ilvl="0" w:tplc="0426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4A25700"/>
    <w:multiLevelType w:val="hybridMultilevel"/>
    <w:tmpl w:val="480C86F6"/>
    <w:lvl w:ilvl="0" w:tplc="288AB38C">
      <w:start w:val="201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805735">
    <w:abstractNumId w:val="4"/>
  </w:num>
  <w:num w:numId="2" w16cid:durableId="2087729933">
    <w:abstractNumId w:val="1"/>
  </w:num>
  <w:num w:numId="3" w16cid:durableId="1330402381">
    <w:abstractNumId w:val="0"/>
  </w:num>
  <w:num w:numId="4" w16cid:durableId="371155724">
    <w:abstractNumId w:val="12"/>
  </w:num>
  <w:num w:numId="5" w16cid:durableId="1511527980">
    <w:abstractNumId w:val="6"/>
  </w:num>
  <w:num w:numId="6" w16cid:durableId="222495119">
    <w:abstractNumId w:val="2"/>
  </w:num>
  <w:num w:numId="7" w16cid:durableId="971400923">
    <w:abstractNumId w:val="8"/>
  </w:num>
  <w:num w:numId="8" w16cid:durableId="697464911">
    <w:abstractNumId w:val="9"/>
  </w:num>
  <w:num w:numId="9" w16cid:durableId="886837266">
    <w:abstractNumId w:val="10"/>
  </w:num>
  <w:num w:numId="10" w16cid:durableId="1021012724">
    <w:abstractNumId w:val="5"/>
  </w:num>
  <w:num w:numId="11" w16cid:durableId="135073183">
    <w:abstractNumId w:val="3"/>
  </w:num>
  <w:num w:numId="12" w16cid:durableId="848561802">
    <w:abstractNumId w:val="7"/>
  </w:num>
  <w:num w:numId="13" w16cid:durableId="4480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78"/>
    <w:rsid w:val="00000187"/>
    <w:rsid w:val="00002875"/>
    <w:rsid w:val="00002C2F"/>
    <w:rsid w:val="00003CA2"/>
    <w:rsid w:val="00006462"/>
    <w:rsid w:val="00012722"/>
    <w:rsid w:val="0001290B"/>
    <w:rsid w:val="0001552B"/>
    <w:rsid w:val="00015BBA"/>
    <w:rsid w:val="0001723D"/>
    <w:rsid w:val="00017E8B"/>
    <w:rsid w:val="00017FCD"/>
    <w:rsid w:val="0002419A"/>
    <w:rsid w:val="000242AF"/>
    <w:rsid w:val="00034800"/>
    <w:rsid w:val="00036601"/>
    <w:rsid w:val="00040F4A"/>
    <w:rsid w:val="000421ED"/>
    <w:rsid w:val="00043D80"/>
    <w:rsid w:val="00043EC2"/>
    <w:rsid w:val="00044445"/>
    <w:rsid w:val="00046BAB"/>
    <w:rsid w:val="0005062F"/>
    <w:rsid w:val="00051E61"/>
    <w:rsid w:val="00052B38"/>
    <w:rsid w:val="0005328E"/>
    <w:rsid w:val="00054740"/>
    <w:rsid w:val="00055A53"/>
    <w:rsid w:val="00056193"/>
    <w:rsid w:val="000569CF"/>
    <w:rsid w:val="00057603"/>
    <w:rsid w:val="00060806"/>
    <w:rsid w:val="00061AA5"/>
    <w:rsid w:val="00061E90"/>
    <w:rsid w:val="0006633B"/>
    <w:rsid w:val="00067573"/>
    <w:rsid w:val="000725F1"/>
    <w:rsid w:val="00072772"/>
    <w:rsid w:val="00073065"/>
    <w:rsid w:val="00073EC1"/>
    <w:rsid w:val="00074745"/>
    <w:rsid w:val="00075614"/>
    <w:rsid w:val="000816A6"/>
    <w:rsid w:val="00084586"/>
    <w:rsid w:val="0008597A"/>
    <w:rsid w:val="00090C55"/>
    <w:rsid w:val="00094307"/>
    <w:rsid w:val="00094EE4"/>
    <w:rsid w:val="00095D62"/>
    <w:rsid w:val="00097185"/>
    <w:rsid w:val="00097278"/>
    <w:rsid w:val="000A032E"/>
    <w:rsid w:val="000A04FA"/>
    <w:rsid w:val="000A2537"/>
    <w:rsid w:val="000B2391"/>
    <w:rsid w:val="000B58FD"/>
    <w:rsid w:val="000B5CF1"/>
    <w:rsid w:val="000B67B0"/>
    <w:rsid w:val="000B7738"/>
    <w:rsid w:val="000C357A"/>
    <w:rsid w:val="000C3D47"/>
    <w:rsid w:val="000C5935"/>
    <w:rsid w:val="000D0B12"/>
    <w:rsid w:val="000D10DE"/>
    <w:rsid w:val="000D130F"/>
    <w:rsid w:val="000D2EEB"/>
    <w:rsid w:val="000D3F3D"/>
    <w:rsid w:val="000D4AEB"/>
    <w:rsid w:val="000D6162"/>
    <w:rsid w:val="000E42B1"/>
    <w:rsid w:val="000E4321"/>
    <w:rsid w:val="000E50CA"/>
    <w:rsid w:val="000F0AA5"/>
    <w:rsid w:val="000F560F"/>
    <w:rsid w:val="000F7279"/>
    <w:rsid w:val="000F73D7"/>
    <w:rsid w:val="000F7B0C"/>
    <w:rsid w:val="00100787"/>
    <w:rsid w:val="001012DF"/>
    <w:rsid w:val="001016BC"/>
    <w:rsid w:val="00101F5A"/>
    <w:rsid w:val="00102F71"/>
    <w:rsid w:val="0010326D"/>
    <w:rsid w:val="00103EC6"/>
    <w:rsid w:val="001077B9"/>
    <w:rsid w:val="00110125"/>
    <w:rsid w:val="00113EC1"/>
    <w:rsid w:val="00116282"/>
    <w:rsid w:val="00120668"/>
    <w:rsid w:val="00120C1C"/>
    <w:rsid w:val="00121D3F"/>
    <w:rsid w:val="00122728"/>
    <w:rsid w:val="001239A0"/>
    <w:rsid w:val="00130FD9"/>
    <w:rsid w:val="00131907"/>
    <w:rsid w:val="001323A4"/>
    <w:rsid w:val="00132BCE"/>
    <w:rsid w:val="00132FBB"/>
    <w:rsid w:val="00134703"/>
    <w:rsid w:val="00141067"/>
    <w:rsid w:val="00141640"/>
    <w:rsid w:val="00142809"/>
    <w:rsid w:val="00142F8E"/>
    <w:rsid w:val="00145DC2"/>
    <w:rsid w:val="0015433C"/>
    <w:rsid w:val="00154E80"/>
    <w:rsid w:val="00156A5B"/>
    <w:rsid w:val="00157F15"/>
    <w:rsid w:val="001603CD"/>
    <w:rsid w:val="00160C60"/>
    <w:rsid w:val="0016153B"/>
    <w:rsid w:val="0016217A"/>
    <w:rsid w:val="00165721"/>
    <w:rsid w:val="00166104"/>
    <w:rsid w:val="00166C81"/>
    <w:rsid w:val="001702CB"/>
    <w:rsid w:val="0017118A"/>
    <w:rsid w:val="0017572F"/>
    <w:rsid w:val="00175D96"/>
    <w:rsid w:val="001760C0"/>
    <w:rsid w:val="001807CF"/>
    <w:rsid w:val="001837B0"/>
    <w:rsid w:val="0018405B"/>
    <w:rsid w:val="00184E83"/>
    <w:rsid w:val="00185116"/>
    <w:rsid w:val="001872B1"/>
    <w:rsid w:val="00191463"/>
    <w:rsid w:val="001936C1"/>
    <w:rsid w:val="00194A0E"/>
    <w:rsid w:val="0019548F"/>
    <w:rsid w:val="00196EF7"/>
    <w:rsid w:val="001A0C8E"/>
    <w:rsid w:val="001A389E"/>
    <w:rsid w:val="001A690E"/>
    <w:rsid w:val="001A6DDC"/>
    <w:rsid w:val="001A767C"/>
    <w:rsid w:val="001B0516"/>
    <w:rsid w:val="001B182F"/>
    <w:rsid w:val="001B2504"/>
    <w:rsid w:val="001B3059"/>
    <w:rsid w:val="001B511A"/>
    <w:rsid w:val="001C14D9"/>
    <w:rsid w:val="001C217C"/>
    <w:rsid w:val="001C28CB"/>
    <w:rsid w:val="001C3F21"/>
    <w:rsid w:val="001C4354"/>
    <w:rsid w:val="001C47F5"/>
    <w:rsid w:val="001C4AD3"/>
    <w:rsid w:val="001C68E2"/>
    <w:rsid w:val="001D1E69"/>
    <w:rsid w:val="001D37A4"/>
    <w:rsid w:val="001D3995"/>
    <w:rsid w:val="001D4C6E"/>
    <w:rsid w:val="001D61E5"/>
    <w:rsid w:val="001D631B"/>
    <w:rsid w:val="001D768A"/>
    <w:rsid w:val="001E0B48"/>
    <w:rsid w:val="001E257C"/>
    <w:rsid w:val="001F0053"/>
    <w:rsid w:val="001F3CE6"/>
    <w:rsid w:val="001F523C"/>
    <w:rsid w:val="001F61FE"/>
    <w:rsid w:val="001F6BB0"/>
    <w:rsid w:val="001F7BB3"/>
    <w:rsid w:val="0020299D"/>
    <w:rsid w:val="002032AF"/>
    <w:rsid w:val="002036DA"/>
    <w:rsid w:val="002039F9"/>
    <w:rsid w:val="002045F1"/>
    <w:rsid w:val="00213375"/>
    <w:rsid w:val="00213951"/>
    <w:rsid w:val="002147DA"/>
    <w:rsid w:val="002175E3"/>
    <w:rsid w:val="002178EF"/>
    <w:rsid w:val="002221D3"/>
    <w:rsid w:val="00222813"/>
    <w:rsid w:val="00222A29"/>
    <w:rsid w:val="00223E3E"/>
    <w:rsid w:val="002307FE"/>
    <w:rsid w:val="00232750"/>
    <w:rsid w:val="002355D5"/>
    <w:rsid w:val="00235F97"/>
    <w:rsid w:val="00237A07"/>
    <w:rsid w:val="002415FF"/>
    <w:rsid w:val="002461F1"/>
    <w:rsid w:val="00246C6E"/>
    <w:rsid w:val="002478B9"/>
    <w:rsid w:val="00251330"/>
    <w:rsid w:val="00251614"/>
    <w:rsid w:val="002528FB"/>
    <w:rsid w:val="00252AF9"/>
    <w:rsid w:val="002531E1"/>
    <w:rsid w:val="002532C6"/>
    <w:rsid w:val="00253EF8"/>
    <w:rsid w:val="002628C5"/>
    <w:rsid w:val="00264DFF"/>
    <w:rsid w:val="00264FC7"/>
    <w:rsid w:val="002677EE"/>
    <w:rsid w:val="002707AC"/>
    <w:rsid w:val="00270E00"/>
    <w:rsid w:val="002737A2"/>
    <w:rsid w:val="0027396F"/>
    <w:rsid w:val="00273A02"/>
    <w:rsid w:val="00276A57"/>
    <w:rsid w:val="002772F3"/>
    <w:rsid w:val="00281DE6"/>
    <w:rsid w:val="00282900"/>
    <w:rsid w:val="002833EF"/>
    <w:rsid w:val="00283DBB"/>
    <w:rsid w:val="00285765"/>
    <w:rsid w:val="00287B9F"/>
    <w:rsid w:val="0029028D"/>
    <w:rsid w:val="00290D33"/>
    <w:rsid w:val="0029274F"/>
    <w:rsid w:val="00292A45"/>
    <w:rsid w:val="00296395"/>
    <w:rsid w:val="00296924"/>
    <w:rsid w:val="002A0F4A"/>
    <w:rsid w:val="002A2F1A"/>
    <w:rsid w:val="002A7BB7"/>
    <w:rsid w:val="002A7D78"/>
    <w:rsid w:val="002B0958"/>
    <w:rsid w:val="002B4F44"/>
    <w:rsid w:val="002B58F2"/>
    <w:rsid w:val="002B7AE7"/>
    <w:rsid w:val="002C0707"/>
    <w:rsid w:val="002C0D3A"/>
    <w:rsid w:val="002C1D92"/>
    <w:rsid w:val="002C58E1"/>
    <w:rsid w:val="002C6BAF"/>
    <w:rsid w:val="002C7696"/>
    <w:rsid w:val="002C7CD1"/>
    <w:rsid w:val="002D1D3F"/>
    <w:rsid w:val="002D48AB"/>
    <w:rsid w:val="002D4B10"/>
    <w:rsid w:val="002D50EC"/>
    <w:rsid w:val="002D6458"/>
    <w:rsid w:val="002D7ECA"/>
    <w:rsid w:val="002E18AC"/>
    <w:rsid w:val="002E1C5C"/>
    <w:rsid w:val="002E2523"/>
    <w:rsid w:val="002E31AA"/>
    <w:rsid w:val="002E38CE"/>
    <w:rsid w:val="002E5211"/>
    <w:rsid w:val="002E6227"/>
    <w:rsid w:val="002F32F7"/>
    <w:rsid w:val="002F362E"/>
    <w:rsid w:val="002F4414"/>
    <w:rsid w:val="00300234"/>
    <w:rsid w:val="003014DC"/>
    <w:rsid w:val="00301E01"/>
    <w:rsid w:val="003039A4"/>
    <w:rsid w:val="00304B03"/>
    <w:rsid w:val="0031027D"/>
    <w:rsid w:val="0031219F"/>
    <w:rsid w:val="00315454"/>
    <w:rsid w:val="00320B47"/>
    <w:rsid w:val="00322ED3"/>
    <w:rsid w:val="003248F3"/>
    <w:rsid w:val="00324F22"/>
    <w:rsid w:val="003252F9"/>
    <w:rsid w:val="003253EB"/>
    <w:rsid w:val="003255CA"/>
    <w:rsid w:val="0033099C"/>
    <w:rsid w:val="00332C7C"/>
    <w:rsid w:val="00333340"/>
    <w:rsid w:val="00334939"/>
    <w:rsid w:val="00337590"/>
    <w:rsid w:val="003410EE"/>
    <w:rsid w:val="00343EBD"/>
    <w:rsid w:val="0034401D"/>
    <w:rsid w:val="00351C6B"/>
    <w:rsid w:val="00351EA1"/>
    <w:rsid w:val="00352729"/>
    <w:rsid w:val="003541CF"/>
    <w:rsid w:val="00362BC1"/>
    <w:rsid w:val="00365818"/>
    <w:rsid w:val="00367B4E"/>
    <w:rsid w:val="00367DDE"/>
    <w:rsid w:val="003701A5"/>
    <w:rsid w:val="0037126A"/>
    <w:rsid w:val="00372582"/>
    <w:rsid w:val="00372981"/>
    <w:rsid w:val="00372B2E"/>
    <w:rsid w:val="00372D54"/>
    <w:rsid w:val="003736EF"/>
    <w:rsid w:val="00373F9B"/>
    <w:rsid w:val="00374D5C"/>
    <w:rsid w:val="00374E83"/>
    <w:rsid w:val="00376B51"/>
    <w:rsid w:val="00380169"/>
    <w:rsid w:val="00380F91"/>
    <w:rsid w:val="003814AD"/>
    <w:rsid w:val="003818D0"/>
    <w:rsid w:val="00384054"/>
    <w:rsid w:val="00384DC6"/>
    <w:rsid w:val="003853D4"/>
    <w:rsid w:val="00390D46"/>
    <w:rsid w:val="0039394C"/>
    <w:rsid w:val="003A06BB"/>
    <w:rsid w:val="003A2902"/>
    <w:rsid w:val="003A668D"/>
    <w:rsid w:val="003A6EE9"/>
    <w:rsid w:val="003A706B"/>
    <w:rsid w:val="003B24AE"/>
    <w:rsid w:val="003B30A9"/>
    <w:rsid w:val="003B71C5"/>
    <w:rsid w:val="003C0B4E"/>
    <w:rsid w:val="003C1D54"/>
    <w:rsid w:val="003C2465"/>
    <w:rsid w:val="003C3B8D"/>
    <w:rsid w:val="003C6A70"/>
    <w:rsid w:val="003C7E2E"/>
    <w:rsid w:val="003D077A"/>
    <w:rsid w:val="003D1CE4"/>
    <w:rsid w:val="003D1F27"/>
    <w:rsid w:val="003D4305"/>
    <w:rsid w:val="003D46EE"/>
    <w:rsid w:val="003D6DCD"/>
    <w:rsid w:val="003E0DD3"/>
    <w:rsid w:val="003E135E"/>
    <w:rsid w:val="003E259F"/>
    <w:rsid w:val="003E316D"/>
    <w:rsid w:val="003E4D18"/>
    <w:rsid w:val="003E65EF"/>
    <w:rsid w:val="003F66CB"/>
    <w:rsid w:val="003F686E"/>
    <w:rsid w:val="003F7D9E"/>
    <w:rsid w:val="004005EC"/>
    <w:rsid w:val="00401CEA"/>
    <w:rsid w:val="00410C2A"/>
    <w:rsid w:val="00412A88"/>
    <w:rsid w:val="00413976"/>
    <w:rsid w:val="004143D5"/>
    <w:rsid w:val="004149C9"/>
    <w:rsid w:val="00415704"/>
    <w:rsid w:val="004162F6"/>
    <w:rsid w:val="0041645F"/>
    <w:rsid w:val="004206EA"/>
    <w:rsid w:val="00422797"/>
    <w:rsid w:val="0042302D"/>
    <w:rsid w:val="00423947"/>
    <w:rsid w:val="00423FBC"/>
    <w:rsid w:val="004240F6"/>
    <w:rsid w:val="00424FBC"/>
    <w:rsid w:val="00425EF1"/>
    <w:rsid w:val="00426A1C"/>
    <w:rsid w:val="00426EED"/>
    <w:rsid w:val="00427590"/>
    <w:rsid w:val="00427A97"/>
    <w:rsid w:val="00431CBF"/>
    <w:rsid w:val="00431DB6"/>
    <w:rsid w:val="0043246A"/>
    <w:rsid w:val="0043332F"/>
    <w:rsid w:val="00440C17"/>
    <w:rsid w:val="0044105D"/>
    <w:rsid w:val="004425D9"/>
    <w:rsid w:val="0044683F"/>
    <w:rsid w:val="004468FC"/>
    <w:rsid w:val="004469A9"/>
    <w:rsid w:val="00450417"/>
    <w:rsid w:val="0045254C"/>
    <w:rsid w:val="0045264C"/>
    <w:rsid w:val="0045326C"/>
    <w:rsid w:val="004540A7"/>
    <w:rsid w:val="004542B3"/>
    <w:rsid w:val="00454D7C"/>
    <w:rsid w:val="0045541B"/>
    <w:rsid w:val="004565EF"/>
    <w:rsid w:val="0046055F"/>
    <w:rsid w:val="0046166F"/>
    <w:rsid w:val="004630AC"/>
    <w:rsid w:val="00463A49"/>
    <w:rsid w:val="00464DAA"/>
    <w:rsid w:val="0046576F"/>
    <w:rsid w:val="00465BE7"/>
    <w:rsid w:val="00465E0C"/>
    <w:rsid w:val="004708D5"/>
    <w:rsid w:val="0047455B"/>
    <w:rsid w:val="00474A1F"/>
    <w:rsid w:val="00480D2E"/>
    <w:rsid w:val="00481849"/>
    <w:rsid w:val="0048433C"/>
    <w:rsid w:val="0048461B"/>
    <w:rsid w:val="00485CCD"/>
    <w:rsid w:val="004865C5"/>
    <w:rsid w:val="00487A2A"/>
    <w:rsid w:val="00491323"/>
    <w:rsid w:val="00492E29"/>
    <w:rsid w:val="00494706"/>
    <w:rsid w:val="00497570"/>
    <w:rsid w:val="004A2384"/>
    <w:rsid w:val="004A30DB"/>
    <w:rsid w:val="004A4A39"/>
    <w:rsid w:val="004A6344"/>
    <w:rsid w:val="004B0DA6"/>
    <w:rsid w:val="004B2AD6"/>
    <w:rsid w:val="004B4B7E"/>
    <w:rsid w:val="004C1069"/>
    <w:rsid w:val="004C15ED"/>
    <w:rsid w:val="004C2C9E"/>
    <w:rsid w:val="004C41A3"/>
    <w:rsid w:val="004C4A8A"/>
    <w:rsid w:val="004C6429"/>
    <w:rsid w:val="004D0D38"/>
    <w:rsid w:val="004D1B3D"/>
    <w:rsid w:val="004D2148"/>
    <w:rsid w:val="004D2706"/>
    <w:rsid w:val="004D42F4"/>
    <w:rsid w:val="004D495E"/>
    <w:rsid w:val="004D4B2B"/>
    <w:rsid w:val="004D650A"/>
    <w:rsid w:val="004E1619"/>
    <w:rsid w:val="004E22C9"/>
    <w:rsid w:val="004E31CD"/>
    <w:rsid w:val="004E4FDC"/>
    <w:rsid w:val="004E59F1"/>
    <w:rsid w:val="004E761B"/>
    <w:rsid w:val="004E7A90"/>
    <w:rsid w:val="004F012D"/>
    <w:rsid w:val="004F024D"/>
    <w:rsid w:val="004F0C18"/>
    <w:rsid w:val="004F38EE"/>
    <w:rsid w:val="004F4447"/>
    <w:rsid w:val="004F4A28"/>
    <w:rsid w:val="004F4CD0"/>
    <w:rsid w:val="004F70A9"/>
    <w:rsid w:val="004F7610"/>
    <w:rsid w:val="004F7D13"/>
    <w:rsid w:val="00505847"/>
    <w:rsid w:val="00506D62"/>
    <w:rsid w:val="00507627"/>
    <w:rsid w:val="00507996"/>
    <w:rsid w:val="005128F6"/>
    <w:rsid w:val="00512BDA"/>
    <w:rsid w:val="00515FE2"/>
    <w:rsid w:val="00521A69"/>
    <w:rsid w:val="00524B2B"/>
    <w:rsid w:val="00524FB8"/>
    <w:rsid w:val="005253DD"/>
    <w:rsid w:val="00527369"/>
    <w:rsid w:val="005308B1"/>
    <w:rsid w:val="00533066"/>
    <w:rsid w:val="0054248A"/>
    <w:rsid w:val="005426FD"/>
    <w:rsid w:val="00542862"/>
    <w:rsid w:val="005449AC"/>
    <w:rsid w:val="005458EE"/>
    <w:rsid w:val="00545E0A"/>
    <w:rsid w:val="005479FA"/>
    <w:rsid w:val="00547C1D"/>
    <w:rsid w:val="005519D5"/>
    <w:rsid w:val="00552999"/>
    <w:rsid w:val="00553012"/>
    <w:rsid w:val="0055562C"/>
    <w:rsid w:val="0055778B"/>
    <w:rsid w:val="005631C4"/>
    <w:rsid w:val="0056426D"/>
    <w:rsid w:val="00564B32"/>
    <w:rsid w:val="00565656"/>
    <w:rsid w:val="005662CD"/>
    <w:rsid w:val="00566B47"/>
    <w:rsid w:val="005701DB"/>
    <w:rsid w:val="005711CB"/>
    <w:rsid w:val="00572136"/>
    <w:rsid w:val="005732B4"/>
    <w:rsid w:val="00573BAF"/>
    <w:rsid w:val="005755F7"/>
    <w:rsid w:val="00580B7D"/>
    <w:rsid w:val="00584331"/>
    <w:rsid w:val="00584AEE"/>
    <w:rsid w:val="00586A56"/>
    <w:rsid w:val="0058736C"/>
    <w:rsid w:val="00587F72"/>
    <w:rsid w:val="0059116D"/>
    <w:rsid w:val="005913B6"/>
    <w:rsid w:val="00592CD5"/>
    <w:rsid w:val="00592E27"/>
    <w:rsid w:val="00593577"/>
    <w:rsid w:val="0059432B"/>
    <w:rsid w:val="00594BF4"/>
    <w:rsid w:val="00594D5D"/>
    <w:rsid w:val="00595E5E"/>
    <w:rsid w:val="00595FA9"/>
    <w:rsid w:val="005966D2"/>
    <w:rsid w:val="005A5CBC"/>
    <w:rsid w:val="005A5EEB"/>
    <w:rsid w:val="005B1027"/>
    <w:rsid w:val="005B168D"/>
    <w:rsid w:val="005B2263"/>
    <w:rsid w:val="005B31D0"/>
    <w:rsid w:val="005B3466"/>
    <w:rsid w:val="005B49A3"/>
    <w:rsid w:val="005C0791"/>
    <w:rsid w:val="005C4D41"/>
    <w:rsid w:val="005D1B16"/>
    <w:rsid w:val="005D1F3F"/>
    <w:rsid w:val="005D2146"/>
    <w:rsid w:val="005D4721"/>
    <w:rsid w:val="005D5696"/>
    <w:rsid w:val="005D5F96"/>
    <w:rsid w:val="005D6411"/>
    <w:rsid w:val="005D7880"/>
    <w:rsid w:val="005E0233"/>
    <w:rsid w:val="005E1FFF"/>
    <w:rsid w:val="005E20B7"/>
    <w:rsid w:val="005E3BB4"/>
    <w:rsid w:val="005E5AC0"/>
    <w:rsid w:val="005E5B30"/>
    <w:rsid w:val="005F016B"/>
    <w:rsid w:val="005F1C08"/>
    <w:rsid w:val="005F4236"/>
    <w:rsid w:val="005F43CA"/>
    <w:rsid w:val="005F4FFD"/>
    <w:rsid w:val="005F63C5"/>
    <w:rsid w:val="006008AC"/>
    <w:rsid w:val="00600A01"/>
    <w:rsid w:val="00600ECE"/>
    <w:rsid w:val="00604A93"/>
    <w:rsid w:val="00605DCD"/>
    <w:rsid w:val="00607250"/>
    <w:rsid w:val="00610906"/>
    <w:rsid w:val="00611D0C"/>
    <w:rsid w:val="00612A26"/>
    <w:rsid w:val="006166BB"/>
    <w:rsid w:val="006211DE"/>
    <w:rsid w:val="006212C5"/>
    <w:rsid w:val="00621EC9"/>
    <w:rsid w:val="0062353A"/>
    <w:rsid w:val="006258ED"/>
    <w:rsid w:val="006272E5"/>
    <w:rsid w:val="006275D5"/>
    <w:rsid w:val="00627E1D"/>
    <w:rsid w:val="00631BA9"/>
    <w:rsid w:val="00632879"/>
    <w:rsid w:val="00633D8C"/>
    <w:rsid w:val="006341E8"/>
    <w:rsid w:val="0063678C"/>
    <w:rsid w:val="006377DD"/>
    <w:rsid w:val="006405CB"/>
    <w:rsid w:val="00640A53"/>
    <w:rsid w:val="00641EDB"/>
    <w:rsid w:val="006440F4"/>
    <w:rsid w:val="00644623"/>
    <w:rsid w:val="00645983"/>
    <w:rsid w:val="0065022D"/>
    <w:rsid w:val="006523B3"/>
    <w:rsid w:val="006546CB"/>
    <w:rsid w:val="006551C4"/>
    <w:rsid w:val="0065546E"/>
    <w:rsid w:val="0065681B"/>
    <w:rsid w:val="00657A0A"/>
    <w:rsid w:val="0066281E"/>
    <w:rsid w:val="00663B35"/>
    <w:rsid w:val="006647C8"/>
    <w:rsid w:val="00665545"/>
    <w:rsid w:val="00666AE9"/>
    <w:rsid w:val="006677A4"/>
    <w:rsid w:val="00672025"/>
    <w:rsid w:val="0068116C"/>
    <w:rsid w:val="00682D85"/>
    <w:rsid w:val="006845E7"/>
    <w:rsid w:val="00685417"/>
    <w:rsid w:val="00686A1C"/>
    <w:rsid w:val="00687F57"/>
    <w:rsid w:val="00691F78"/>
    <w:rsid w:val="006929EC"/>
    <w:rsid w:val="00694F79"/>
    <w:rsid w:val="006965C6"/>
    <w:rsid w:val="00696E7F"/>
    <w:rsid w:val="0069759A"/>
    <w:rsid w:val="006A22A9"/>
    <w:rsid w:val="006A323A"/>
    <w:rsid w:val="006A4ED2"/>
    <w:rsid w:val="006A5B1B"/>
    <w:rsid w:val="006A679F"/>
    <w:rsid w:val="006A6CE8"/>
    <w:rsid w:val="006A7B1D"/>
    <w:rsid w:val="006A7E03"/>
    <w:rsid w:val="006B31C3"/>
    <w:rsid w:val="006B3788"/>
    <w:rsid w:val="006B4EE4"/>
    <w:rsid w:val="006B5295"/>
    <w:rsid w:val="006B68F9"/>
    <w:rsid w:val="006C22DA"/>
    <w:rsid w:val="006C4A06"/>
    <w:rsid w:val="006C4B49"/>
    <w:rsid w:val="006C79DE"/>
    <w:rsid w:val="006D0D1D"/>
    <w:rsid w:val="006D193F"/>
    <w:rsid w:val="006D1A91"/>
    <w:rsid w:val="006D3063"/>
    <w:rsid w:val="006D636A"/>
    <w:rsid w:val="006D6AD4"/>
    <w:rsid w:val="006E4624"/>
    <w:rsid w:val="006E5792"/>
    <w:rsid w:val="006E5CFC"/>
    <w:rsid w:val="006F0360"/>
    <w:rsid w:val="006F0A38"/>
    <w:rsid w:val="006F278B"/>
    <w:rsid w:val="006F29CD"/>
    <w:rsid w:val="006F4B27"/>
    <w:rsid w:val="006F5908"/>
    <w:rsid w:val="007025E8"/>
    <w:rsid w:val="0070359C"/>
    <w:rsid w:val="007036BB"/>
    <w:rsid w:val="007062B6"/>
    <w:rsid w:val="007109E3"/>
    <w:rsid w:val="00710DEA"/>
    <w:rsid w:val="00710E04"/>
    <w:rsid w:val="00712DA4"/>
    <w:rsid w:val="00713B63"/>
    <w:rsid w:val="00713BA9"/>
    <w:rsid w:val="00714810"/>
    <w:rsid w:val="00714A14"/>
    <w:rsid w:val="00716206"/>
    <w:rsid w:val="007211B9"/>
    <w:rsid w:val="007214EC"/>
    <w:rsid w:val="00721A7C"/>
    <w:rsid w:val="007234A0"/>
    <w:rsid w:val="00723E7B"/>
    <w:rsid w:val="00724A6C"/>
    <w:rsid w:val="00725029"/>
    <w:rsid w:val="00725DD9"/>
    <w:rsid w:val="00725DE1"/>
    <w:rsid w:val="00726835"/>
    <w:rsid w:val="00733D76"/>
    <w:rsid w:val="00734EC8"/>
    <w:rsid w:val="007369E6"/>
    <w:rsid w:val="007424DF"/>
    <w:rsid w:val="00742712"/>
    <w:rsid w:val="007429D3"/>
    <w:rsid w:val="00742B6C"/>
    <w:rsid w:val="007440CA"/>
    <w:rsid w:val="00745371"/>
    <w:rsid w:val="007455F0"/>
    <w:rsid w:val="00746486"/>
    <w:rsid w:val="007505E1"/>
    <w:rsid w:val="00750D31"/>
    <w:rsid w:val="0075421D"/>
    <w:rsid w:val="00756711"/>
    <w:rsid w:val="007601D2"/>
    <w:rsid w:val="00761C59"/>
    <w:rsid w:val="00762F34"/>
    <w:rsid w:val="00766E3C"/>
    <w:rsid w:val="00767464"/>
    <w:rsid w:val="0077345F"/>
    <w:rsid w:val="0077672A"/>
    <w:rsid w:val="00777562"/>
    <w:rsid w:val="0078379F"/>
    <w:rsid w:val="00787404"/>
    <w:rsid w:val="00787F9C"/>
    <w:rsid w:val="00790F33"/>
    <w:rsid w:val="007911AE"/>
    <w:rsid w:val="007930B8"/>
    <w:rsid w:val="00793EB7"/>
    <w:rsid w:val="00794E31"/>
    <w:rsid w:val="00797C84"/>
    <w:rsid w:val="007A1B8F"/>
    <w:rsid w:val="007A2064"/>
    <w:rsid w:val="007A21BF"/>
    <w:rsid w:val="007A3046"/>
    <w:rsid w:val="007A3AE7"/>
    <w:rsid w:val="007A53B2"/>
    <w:rsid w:val="007A55A2"/>
    <w:rsid w:val="007A5655"/>
    <w:rsid w:val="007A5BE2"/>
    <w:rsid w:val="007A6030"/>
    <w:rsid w:val="007A60F7"/>
    <w:rsid w:val="007A7779"/>
    <w:rsid w:val="007A77CF"/>
    <w:rsid w:val="007A7EDD"/>
    <w:rsid w:val="007B0765"/>
    <w:rsid w:val="007B3488"/>
    <w:rsid w:val="007B36E8"/>
    <w:rsid w:val="007B377C"/>
    <w:rsid w:val="007B3FBA"/>
    <w:rsid w:val="007C07E9"/>
    <w:rsid w:val="007C1325"/>
    <w:rsid w:val="007C2D22"/>
    <w:rsid w:val="007C3871"/>
    <w:rsid w:val="007C6355"/>
    <w:rsid w:val="007C7DD7"/>
    <w:rsid w:val="007C7E8B"/>
    <w:rsid w:val="007D0382"/>
    <w:rsid w:val="007D11C3"/>
    <w:rsid w:val="007D1B12"/>
    <w:rsid w:val="007D70A4"/>
    <w:rsid w:val="007D7B41"/>
    <w:rsid w:val="007E0B9E"/>
    <w:rsid w:val="007E3FC6"/>
    <w:rsid w:val="007E5455"/>
    <w:rsid w:val="007E55D3"/>
    <w:rsid w:val="007E609D"/>
    <w:rsid w:val="007E7095"/>
    <w:rsid w:val="007E788C"/>
    <w:rsid w:val="007F0264"/>
    <w:rsid w:val="007F02E4"/>
    <w:rsid w:val="007F0B77"/>
    <w:rsid w:val="007F2682"/>
    <w:rsid w:val="007F2ACE"/>
    <w:rsid w:val="007F4144"/>
    <w:rsid w:val="007F507F"/>
    <w:rsid w:val="007F59A1"/>
    <w:rsid w:val="007F6215"/>
    <w:rsid w:val="007F668B"/>
    <w:rsid w:val="007F6F64"/>
    <w:rsid w:val="008018F5"/>
    <w:rsid w:val="00802F47"/>
    <w:rsid w:val="008044AA"/>
    <w:rsid w:val="008051F8"/>
    <w:rsid w:val="0081195D"/>
    <w:rsid w:val="0081280A"/>
    <w:rsid w:val="00812D72"/>
    <w:rsid w:val="008148A9"/>
    <w:rsid w:val="008163B8"/>
    <w:rsid w:val="00816C10"/>
    <w:rsid w:val="00816EB3"/>
    <w:rsid w:val="0081741A"/>
    <w:rsid w:val="00820CFF"/>
    <w:rsid w:val="00822B9F"/>
    <w:rsid w:val="008231DA"/>
    <w:rsid w:val="008248A3"/>
    <w:rsid w:val="008268B8"/>
    <w:rsid w:val="0082743A"/>
    <w:rsid w:val="00827852"/>
    <w:rsid w:val="00830CB5"/>
    <w:rsid w:val="00830D01"/>
    <w:rsid w:val="00831F99"/>
    <w:rsid w:val="0083298A"/>
    <w:rsid w:val="00833A7B"/>
    <w:rsid w:val="00833B5D"/>
    <w:rsid w:val="00834022"/>
    <w:rsid w:val="00834ACE"/>
    <w:rsid w:val="008353A1"/>
    <w:rsid w:val="008365F7"/>
    <w:rsid w:val="0083748B"/>
    <w:rsid w:val="008436AC"/>
    <w:rsid w:val="008437E1"/>
    <w:rsid w:val="008439F6"/>
    <w:rsid w:val="0084731C"/>
    <w:rsid w:val="00851F2E"/>
    <w:rsid w:val="00857287"/>
    <w:rsid w:val="00861947"/>
    <w:rsid w:val="008633DD"/>
    <w:rsid w:val="00863FAF"/>
    <w:rsid w:val="00866C17"/>
    <w:rsid w:val="00871951"/>
    <w:rsid w:val="0087274D"/>
    <w:rsid w:val="00874D71"/>
    <w:rsid w:val="00877C35"/>
    <w:rsid w:val="0088138C"/>
    <w:rsid w:val="00883546"/>
    <w:rsid w:val="00883A4F"/>
    <w:rsid w:val="00883A8F"/>
    <w:rsid w:val="00885882"/>
    <w:rsid w:val="008879D8"/>
    <w:rsid w:val="00892DE8"/>
    <w:rsid w:val="00893E6D"/>
    <w:rsid w:val="00893FF6"/>
    <w:rsid w:val="00894061"/>
    <w:rsid w:val="008967BE"/>
    <w:rsid w:val="00896D2A"/>
    <w:rsid w:val="0089750E"/>
    <w:rsid w:val="008A283A"/>
    <w:rsid w:val="008A2EE7"/>
    <w:rsid w:val="008B0C36"/>
    <w:rsid w:val="008B3F1C"/>
    <w:rsid w:val="008B5CFE"/>
    <w:rsid w:val="008B6E16"/>
    <w:rsid w:val="008B7EAA"/>
    <w:rsid w:val="008D2DD1"/>
    <w:rsid w:val="008D390A"/>
    <w:rsid w:val="008D49F0"/>
    <w:rsid w:val="008D4BF3"/>
    <w:rsid w:val="008D4EA2"/>
    <w:rsid w:val="008D5084"/>
    <w:rsid w:val="008D5140"/>
    <w:rsid w:val="008E1B22"/>
    <w:rsid w:val="008E2BD7"/>
    <w:rsid w:val="008E4DA7"/>
    <w:rsid w:val="008E5175"/>
    <w:rsid w:val="008F0780"/>
    <w:rsid w:val="008F1AF7"/>
    <w:rsid w:val="008F390F"/>
    <w:rsid w:val="008F5A7D"/>
    <w:rsid w:val="00900AE3"/>
    <w:rsid w:val="00902DF6"/>
    <w:rsid w:val="00902F52"/>
    <w:rsid w:val="009031DF"/>
    <w:rsid w:val="009032CD"/>
    <w:rsid w:val="00905877"/>
    <w:rsid w:val="00911E5A"/>
    <w:rsid w:val="00920096"/>
    <w:rsid w:val="00930019"/>
    <w:rsid w:val="00933076"/>
    <w:rsid w:val="009340CD"/>
    <w:rsid w:val="00934ADF"/>
    <w:rsid w:val="0093758A"/>
    <w:rsid w:val="00937A70"/>
    <w:rsid w:val="00937B2C"/>
    <w:rsid w:val="00940349"/>
    <w:rsid w:val="00940426"/>
    <w:rsid w:val="00943C9F"/>
    <w:rsid w:val="00944AA7"/>
    <w:rsid w:val="00944B3B"/>
    <w:rsid w:val="00945F0D"/>
    <w:rsid w:val="00946BC2"/>
    <w:rsid w:val="009524DD"/>
    <w:rsid w:val="00961A61"/>
    <w:rsid w:val="009622A5"/>
    <w:rsid w:val="009623D8"/>
    <w:rsid w:val="00962881"/>
    <w:rsid w:val="009638BD"/>
    <w:rsid w:val="0096649D"/>
    <w:rsid w:val="00967C11"/>
    <w:rsid w:val="0097182D"/>
    <w:rsid w:val="00972028"/>
    <w:rsid w:val="00973D4A"/>
    <w:rsid w:val="00974898"/>
    <w:rsid w:val="009777CB"/>
    <w:rsid w:val="009807DA"/>
    <w:rsid w:val="009815D4"/>
    <w:rsid w:val="00983854"/>
    <w:rsid w:val="00985B27"/>
    <w:rsid w:val="009926B7"/>
    <w:rsid w:val="009926D2"/>
    <w:rsid w:val="00994305"/>
    <w:rsid w:val="00995F88"/>
    <w:rsid w:val="009A154C"/>
    <w:rsid w:val="009A1B9B"/>
    <w:rsid w:val="009A20B1"/>
    <w:rsid w:val="009A2302"/>
    <w:rsid w:val="009A244C"/>
    <w:rsid w:val="009A2D7F"/>
    <w:rsid w:val="009A474C"/>
    <w:rsid w:val="009A5708"/>
    <w:rsid w:val="009B20CF"/>
    <w:rsid w:val="009B230F"/>
    <w:rsid w:val="009B27DA"/>
    <w:rsid w:val="009B4134"/>
    <w:rsid w:val="009B4335"/>
    <w:rsid w:val="009B58E3"/>
    <w:rsid w:val="009B5FCE"/>
    <w:rsid w:val="009C0853"/>
    <w:rsid w:val="009C243D"/>
    <w:rsid w:val="009C2716"/>
    <w:rsid w:val="009C2F0E"/>
    <w:rsid w:val="009C6B57"/>
    <w:rsid w:val="009C7BB9"/>
    <w:rsid w:val="009D6085"/>
    <w:rsid w:val="009D6469"/>
    <w:rsid w:val="009D7F76"/>
    <w:rsid w:val="009E030B"/>
    <w:rsid w:val="009E251E"/>
    <w:rsid w:val="009E45F0"/>
    <w:rsid w:val="009E5F5D"/>
    <w:rsid w:val="009E7BEB"/>
    <w:rsid w:val="009F613A"/>
    <w:rsid w:val="00A01236"/>
    <w:rsid w:val="00A01EE4"/>
    <w:rsid w:val="00A07349"/>
    <w:rsid w:val="00A12099"/>
    <w:rsid w:val="00A128FA"/>
    <w:rsid w:val="00A15891"/>
    <w:rsid w:val="00A15CD3"/>
    <w:rsid w:val="00A21FCF"/>
    <w:rsid w:val="00A22302"/>
    <w:rsid w:val="00A23A61"/>
    <w:rsid w:val="00A24C74"/>
    <w:rsid w:val="00A26327"/>
    <w:rsid w:val="00A2653A"/>
    <w:rsid w:val="00A266A5"/>
    <w:rsid w:val="00A31613"/>
    <w:rsid w:val="00A32899"/>
    <w:rsid w:val="00A33487"/>
    <w:rsid w:val="00A40BE1"/>
    <w:rsid w:val="00A417AD"/>
    <w:rsid w:val="00A41BE7"/>
    <w:rsid w:val="00A4370F"/>
    <w:rsid w:val="00A45173"/>
    <w:rsid w:val="00A45BBE"/>
    <w:rsid w:val="00A45F55"/>
    <w:rsid w:val="00A52ADC"/>
    <w:rsid w:val="00A54198"/>
    <w:rsid w:val="00A558FB"/>
    <w:rsid w:val="00A5677D"/>
    <w:rsid w:val="00A56DB8"/>
    <w:rsid w:val="00A5751F"/>
    <w:rsid w:val="00A57700"/>
    <w:rsid w:val="00A57765"/>
    <w:rsid w:val="00A60C8A"/>
    <w:rsid w:val="00A61284"/>
    <w:rsid w:val="00A63B7A"/>
    <w:rsid w:val="00A65F1F"/>
    <w:rsid w:val="00A672F1"/>
    <w:rsid w:val="00A7262B"/>
    <w:rsid w:val="00A737FE"/>
    <w:rsid w:val="00A74167"/>
    <w:rsid w:val="00A74225"/>
    <w:rsid w:val="00A743DD"/>
    <w:rsid w:val="00A75841"/>
    <w:rsid w:val="00A806B5"/>
    <w:rsid w:val="00A80C9E"/>
    <w:rsid w:val="00A817AD"/>
    <w:rsid w:val="00A83D02"/>
    <w:rsid w:val="00A84302"/>
    <w:rsid w:val="00A90C49"/>
    <w:rsid w:val="00A91D4F"/>
    <w:rsid w:val="00A936F5"/>
    <w:rsid w:val="00A9668D"/>
    <w:rsid w:val="00A96774"/>
    <w:rsid w:val="00A96D25"/>
    <w:rsid w:val="00A97568"/>
    <w:rsid w:val="00A97FA7"/>
    <w:rsid w:val="00AA00BB"/>
    <w:rsid w:val="00AA32C6"/>
    <w:rsid w:val="00AA4E8D"/>
    <w:rsid w:val="00AA4EC5"/>
    <w:rsid w:val="00AA53FF"/>
    <w:rsid w:val="00AA7ADF"/>
    <w:rsid w:val="00AA7E84"/>
    <w:rsid w:val="00AB2FA5"/>
    <w:rsid w:val="00AB3DA9"/>
    <w:rsid w:val="00AB3FC8"/>
    <w:rsid w:val="00AB5A0A"/>
    <w:rsid w:val="00AB7F36"/>
    <w:rsid w:val="00AC0DA7"/>
    <w:rsid w:val="00AC1D4A"/>
    <w:rsid w:val="00AC1DA0"/>
    <w:rsid w:val="00AC2A56"/>
    <w:rsid w:val="00AC3AB5"/>
    <w:rsid w:val="00AC61B0"/>
    <w:rsid w:val="00AC78EB"/>
    <w:rsid w:val="00AD1B92"/>
    <w:rsid w:val="00AD2A56"/>
    <w:rsid w:val="00AD4B86"/>
    <w:rsid w:val="00AD5C26"/>
    <w:rsid w:val="00AD662C"/>
    <w:rsid w:val="00AD6E0B"/>
    <w:rsid w:val="00AE3B91"/>
    <w:rsid w:val="00AE3F1C"/>
    <w:rsid w:val="00AE734C"/>
    <w:rsid w:val="00AF0604"/>
    <w:rsid w:val="00AF1C54"/>
    <w:rsid w:val="00AF26B7"/>
    <w:rsid w:val="00AF32EF"/>
    <w:rsid w:val="00AF7B67"/>
    <w:rsid w:val="00B02880"/>
    <w:rsid w:val="00B03552"/>
    <w:rsid w:val="00B03D45"/>
    <w:rsid w:val="00B06A4B"/>
    <w:rsid w:val="00B13629"/>
    <w:rsid w:val="00B140D0"/>
    <w:rsid w:val="00B17D20"/>
    <w:rsid w:val="00B2023E"/>
    <w:rsid w:val="00B21525"/>
    <w:rsid w:val="00B2230E"/>
    <w:rsid w:val="00B22AC4"/>
    <w:rsid w:val="00B2330C"/>
    <w:rsid w:val="00B23C3B"/>
    <w:rsid w:val="00B27D31"/>
    <w:rsid w:val="00B31C67"/>
    <w:rsid w:val="00B326D6"/>
    <w:rsid w:val="00B33ED9"/>
    <w:rsid w:val="00B37142"/>
    <w:rsid w:val="00B374E5"/>
    <w:rsid w:val="00B404FF"/>
    <w:rsid w:val="00B40ED3"/>
    <w:rsid w:val="00B41551"/>
    <w:rsid w:val="00B42215"/>
    <w:rsid w:val="00B42810"/>
    <w:rsid w:val="00B42C15"/>
    <w:rsid w:val="00B45B41"/>
    <w:rsid w:val="00B4649C"/>
    <w:rsid w:val="00B475C6"/>
    <w:rsid w:val="00B52508"/>
    <w:rsid w:val="00B52C4C"/>
    <w:rsid w:val="00B5516E"/>
    <w:rsid w:val="00B5781C"/>
    <w:rsid w:val="00B608BF"/>
    <w:rsid w:val="00B63722"/>
    <w:rsid w:val="00B65B61"/>
    <w:rsid w:val="00B723CE"/>
    <w:rsid w:val="00B757B2"/>
    <w:rsid w:val="00B7745F"/>
    <w:rsid w:val="00B77B1A"/>
    <w:rsid w:val="00B802D4"/>
    <w:rsid w:val="00B80492"/>
    <w:rsid w:val="00B81E61"/>
    <w:rsid w:val="00B822FA"/>
    <w:rsid w:val="00B8425E"/>
    <w:rsid w:val="00B853A6"/>
    <w:rsid w:val="00B93B68"/>
    <w:rsid w:val="00B94F4A"/>
    <w:rsid w:val="00B95D10"/>
    <w:rsid w:val="00B9634C"/>
    <w:rsid w:val="00B976D6"/>
    <w:rsid w:val="00BA0731"/>
    <w:rsid w:val="00BA22D1"/>
    <w:rsid w:val="00BA47DB"/>
    <w:rsid w:val="00BA73BB"/>
    <w:rsid w:val="00BA7939"/>
    <w:rsid w:val="00BB2A78"/>
    <w:rsid w:val="00BB2C6F"/>
    <w:rsid w:val="00BB3C65"/>
    <w:rsid w:val="00BB47BA"/>
    <w:rsid w:val="00BB77B4"/>
    <w:rsid w:val="00BB7885"/>
    <w:rsid w:val="00BC0543"/>
    <w:rsid w:val="00BC422B"/>
    <w:rsid w:val="00BC590B"/>
    <w:rsid w:val="00BC5B62"/>
    <w:rsid w:val="00BD0C04"/>
    <w:rsid w:val="00BD397C"/>
    <w:rsid w:val="00BD5A48"/>
    <w:rsid w:val="00BE080B"/>
    <w:rsid w:val="00BE0A21"/>
    <w:rsid w:val="00BE0B4B"/>
    <w:rsid w:val="00BE16FA"/>
    <w:rsid w:val="00BE175E"/>
    <w:rsid w:val="00BE1BAF"/>
    <w:rsid w:val="00BE1E0B"/>
    <w:rsid w:val="00BE1E5B"/>
    <w:rsid w:val="00BE39A9"/>
    <w:rsid w:val="00BF3F63"/>
    <w:rsid w:val="00BF50A4"/>
    <w:rsid w:val="00C03E0B"/>
    <w:rsid w:val="00C043FD"/>
    <w:rsid w:val="00C063E5"/>
    <w:rsid w:val="00C07F97"/>
    <w:rsid w:val="00C116F2"/>
    <w:rsid w:val="00C122A7"/>
    <w:rsid w:val="00C122D6"/>
    <w:rsid w:val="00C12317"/>
    <w:rsid w:val="00C125CD"/>
    <w:rsid w:val="00C127A8"/>
    <w:rsid w:val="00C12FF5"/>
    <w:rsid w:val="00C134F8"/>
    <w:rsid w:val="00C13580"/>
    <w:rsid w:val="00C13835"/>
    <w:rsid w:val="00C149B4"/>
    <w:rsid w:val="00C17504"/>
    <w:rsid w:val="00C17CD9"/>
    <w:rsid w:val="00C201F8"/>
    <w:rsid w:val="00C22535"/>
    <w:rsid w:val="00C22919"/>
    <w:rsid w:val="00C2742B"/>
    <w:rsid w:val="00C345B7"/>
    <w:rsid w:val="00C349FE"/>
    <w:rsid w:val="00C35084"/>
    <w:rsid w:val="00C40C6F"/>
    <w:rsid w:val="00C41F88"/>
    <w:rsid w:val="00C42739"/>
    <w:rsid w:val="00C4300D"/>
    <w:rsid w:val="00C440BF"/>
    <w:rsid w:val="00C4412C"/>
    <w:rsid w:val="00C46592"/>
    <w:rsid w:val="00C55217"/>
    <w:rsid w:val="00C5575B"/>
    <w:rsid w:val="00C56E2A"/>
    <w:rsid w:val="00C64E8C"/>
    <w:rsid w:val="00C64F4D"/>
    <w:rsid w:val="00C65285"/>
    <w:rsid w:val="00C67102"/>
    <w:rsid w:val="00C676F4"/>
    <w:rsid w:val="00C71014"/>
    <w:rsid w:val="00C7117C"/>
    <w:rsid w:val="00C7178B"/>
    <w:rsid w:val="00C71FB2"/>
    <w:rsid w:val="00C763F2"/>
    <w:rsid w:val="00C76CA6"/>
    <w:rsid w:val="00C77394"/>
    <w:rsid w:val="00C80EA9"/>
    <w:rsid w:val="00C837DD"/>
    <w:rsid w:val="00C83950"/>
    <w:rsid w:val="00C85D27"/>
    <w:rsid w:val="00C92854"/>
    <w:rsid w:val="00C92AD0"/>
    <w:rsid w:val="00C92F74"/>
    <w:rsid w:val="00C93C4C"/>
    <w:rsid w:val="00C954A8"/>
    <w:rsid w:val="00C97139"/>
    <w:rsid w:val="00CA001F"/>
    <w:rsid w:val="00CA2AE2"/>
    <w:rsid w:val="00CA3547"/>
    <w:rsid w:val="00CA42E2"/>
    <w:rsid w:val="00CA4500"/>
    <w:rsid w:val="00CA4A3F"/>
    <w:rsid w:val="00CB041A"/>
    <w:rsid w:val="00CB2D49"/>
    <w:rsid w:val="00CB44F8"/>
    <w:rsid w:val="00CB768B"/>
    <w:rsid w:val="00CB768C"/>
    <w:rsid w:val="00CC3B15"/>
    <w:rsid w:val="00CC3B6D"/>
    <w:rsid w:val="00CC3F1F"/>
    <w:rsid w:val="00CC7A7F"/>
    <w:rsid w:val="00CC7C18"/>
    <w:rsid w:val="00CD0A39"/>
    <w:rsid w:val="00CD11CF"/>
    <w:rsid w:val="00CD2852"/>
    <w:rsid w:val="00CD3F6A"/>
    <w:rsid w:val="00CD44AF"/>
    <w:rsid w:val="00CD6F3E"/>
    <w:rsid w:val="00CE01C5"/>
    <w:rsid w:val="00CE0BFB"/>
    <w:rsid w:val="00CE28D2"/>
    <w:rsid w:val="00CE3363"/>
    <w:rsid w:val="00CE639C"/>
    <w:rsid w:val="00CE7D99"/>
    <w:rsid w:val="00CF1542"/>
    <w:rsid w:val="00CF1EC1"/>
    <w:rsid w:val="00CF6557"/>
    <w:rsid w:val="00CF6B98"/>
    <w:rsid w:val="00CF7686"/>
    <w:rsid w:val="00D0047C"/>
    <w:rsid w:val="00D0344C"/>
    <w:rsid w:val="00D03C36"/>
    <w:rsid w:val="00D053CF"/>
    <w:rsid w:val="00D0552C"/>
    <w:rsid w:val="00D06AEC"/>
    <w:rsid w:val="00D10DAA"/>
    <w:rsid w:val="00D131E7"/>
    <w:rsid w:val="00D21186"/>
    <w:rsid w:val="00D21769"/>
    <w:rsid w:val="00D21C22"/>
    <w:rsid w:val="00D226AC"/>
    <w:rsid w:val="00D2547F"/>
    <w:rsid w:val="00D26F50"/>
    <w:rsid w:val="00D27309"/>
    <w:rsid w:val="00D31654"/>
    <w:rsid w:val="00D33BE2"/>
    <w:rsid w:val="00D40D66"/>
    <w:rsid w:val="00D4407F"/>
    <w:rsid w:val="00D4623F"/>
    <w:rsid w:val="00D4693C"/>
    <w:rsid w:val="00D50789"/>
    <w:rsid w:val="00D50831"/>
    <w:rsid w:val="00D50AD1"/>
    <w:rsid w:val="00D51557"/>
    <w:rsid w:val="00D52D27"/>
    <w:rsid w:val="00D570A7"/>
    <w:rsid w:val="00D6028C"/>
    <w:rsid w:val="00D60CF2"/>
    <w:rsid w:val="00D64139"/>
    <w:rsid w:val="00D66E78"/>
    <w:rsid w:val="00D73304"/>
    <w:rsid w:val="00D73AB2"/>
    <w:rsid w:val="00D7488F"/>
    <w:rsid w:val="00D81C3D"/>
    <w:rsid w:val="00D84905"/>
    <w:rsid w:val="00D84B2C"/>
    <w:rsid w:val="00D8757C"/>
    <w:rsid w:val="00D877D4"/>
    <w:rsid w:val="00D91476"/>
    <w:rsid w:val="00DA003D"/>
    <w:rsid w:val="00DA1C32"/>
    <w:rsid w:val="00DA1DA6"/>
    <w:rsid w:val="00DA2E25"/>
    <w:rsid w:val="00DA339D"/>
    <w:rsid w:val="00DA532C"/>
    <w:rsid w:val="00DA764D"/>
    <w:rsid w:val="00DB1CF0"/>
    <w:rsid w:val="00DB1F78"/>
    <w:rsid w:val="00DB365B"/>
    <w:rsid w:val="00DB36F4"/>
    <w:rsid w:val="00DB4B70"/>
    <w:rsid w:val="00DB510F"/>
    <w:rsid w:val="00DB5BA6"/>
    <w:rsid w:val="00DB7B62"/>
    <w:rsid w:val="00DB7C9F"/>
    <w:rsid w:val="00DC1592"/>
    <w:rsid w:val="00DC1CC1"/>
    <w:rsid w:val="00DC2DF6"/>
    <w:rsid w:val="00DC3302"/>
    <w:rsid w:val="00DC4B38"/>
    <w:rsid w:val="00DC5A50"/>
    <w:rsid w:val="00DC676D"/>
    <w:rsid w:val="00DD004A"/>
    <w:rsid w:val="00DD0ABC"/>
    <w:rsid w:val="00DD0C46"/>
    <w:rsid w:val="00DD1E53"/>
    <w:rsid w:val="00DD3F95"/>
    <w:rsid w:val="00DD4DF3"/>
    <w:rsid w:val="00DD6130"/>
    <w:rsid w:val="00DE2A4A"/>
    <w:rsid w:val="00DE377C"/>
    <w:rsid w:val="00DE3795"/>
    <w:rsid w:val="00DE3E91"/>
    <w:rsid w:val="00DE489F"/>
    <w:rsid w:val="00DE49E5"/>
    <w:rsid w:val="00DE582B"/>
    <w:rsid w:val="00DE6759"/>
    <w:rsid w:val="00DF0673"/>
    <w:rsid w:val="00DF6BAE"/>
    <w:rsid w:val="00E03908"/>
    <w:rsid w:val="00E03E6A"/>
    <w:rsid w:val="00E04572"/>
    <w:rsid w:val="00E05566"/>
    <w:rsid w:val="00E060DE"/>
    <w:rsid w:val="00E10091"/>
    <w:rsid w:val="00E130A0"/>
    <w:rsid w:val="00E141D6"/>
    <w:rsid w:val="00E1730C"/>
    <w:rsid w:val="00E208D7"/>
    <w:rsid w:val="00E242DB"/>
    <w:rsid w:val="00E25571"/>
    <w:rsid w:val="00E273B7"/>
    <w:rsid w:val="00E30692"/>
    <w:rsid w:val="00E308FB"/>
    <w:rsid w:val="00E330FB"/>
    <w:rsid w:val="00E33522"/>
    <w:rsid w:val="00E345B4"/>
    <w:rsid w:val="00E34EA6"/>
    <w:rsid w:val="00E3590F"/>
    <w:rsid w:val="00E35A30"/>
    <w:rsid w:val="00E36D32"/>
    <w:rsid w:val="00E36FA4"/>
    <w:rsid w:val="00E405C6"/>
    <w:rsid w:val="00E430E3"/>
    <w:rsid w:val="00E43246"/>
    <w:rsid w:val="00E444C9"/>
    <w:rsid w:val="00E451E0"/>
    <w:rsid w:val="00E46B41"/>
    <w:rsid w:val="00E4709C"/>
    <w:rsid w:val="00E4758E"/>
    <w:rsid w:val="00E52381"/>
    <w:rsid w:val="00E53B02"/>
    <w:rsid w:val="00E54695"/>
    <w:rsid w:val="00E550B2"/>
    <w:rsid w:val="00E55D47"/>
    <w:rsid w:val="00E57E32"/>
    <w:rsid w:val="00E652D3"/>
    <w:rsid w:val="00E67EBC"/>
    <w:rsid w:val="00E72918"/>
    <w:rsid w:val="00E77ADC"/>
    <w:rsid w:val="00E812AD"/>
    <w:rsid w:val="00E81B56"/>
    <w:rsid w:val="00E841EC"/>
    <w:rsid w:val="00E84C85"/>
    <w:rsid w:val="00E857F8"/>
    <w:rsid w:val="00E87A1A"/>
    <w:rsid w:val="00E87A72"/>
    <w:rsid w:val="00E9287A"/>
    <w:rsid w:val="00E93175"/>
    <w:rsid w:val="00E969AB"/>
    <w:rsid w:val="00E9780A"/>
    <w:rsid w:val="00E97819"/>
    <w:rsid w:val="00EA02D8"/>
    <w:rsid w:val="00EA09A8"/>
    <w:rsid w:val="00EA182F"/>
    <w:rsid w:val="00EA1B27"/>
    <w:rsid w:val="00EA211D"/>
    <w:rsid w:val="00EA3566"/>
    <w:rsid w:val="00EA4A21"/>
    <w:rsid w:val="00EA578C"/>
    <w:rsid w:val="00EA587C"/>
    <w:rsid w:val="00EA6801"/>
    <w:rsid w:val="00EA69EB"/>
    <w:rsid w:val="00EB141C"/>
    <w:rsid w:val="00EB18EF"/>
    <w:rsid w:val="00EB4694"/>
    <w:rsid w:val="00EB46EB"/>
    <w:rsid w:val="00EB63B9"/>
    <w:rsid w:val="00EB6592"/>
    <w:rsid w:val="00EB76A5"/>
    <w:rsid w:val="00EC4432"/>
    <w:rsid w:val="00EC4565"/>
    <w:rsid w:val="00EC47E8"/>
    <w:rsid w:val="00EC75BA"/>
    <w:rsid w:val="00ED0EF6"/>
    <w:rsid w:val="00ED162A"/>
    <w:rsid w:val="00ED2757"/>
    <w:rsid w:val="00ED28DB"/>
    <w:rsid w:val="00ED358A"/>
    <w:rsid w:val="00ED5AC0"/>
    <w:rsid w:val="00EE2AD8"/>
    <w:rsid w:val="00EE5639"/>
    <w:rsid w:val="00EE786D"/>
    <w:rsid w:val="00EE7C00"/>
    <w:rsid w:val="00EF0278"/>
    <w:rsid w:val="00EF4D3F"/>
    <w:rsid w:val="00F02006"/>
    <w:rsid w:val="00F0263E"/>
    <w:rsid w:val="00F038F7"/>
    <w:rsid w:val="00F03DAC"/>
    <w:rsid w:val="00F04CE1"/>
    <w:rsid w:val="00F05884"/>
    <w:rsid w:val="00F0658B"/>
    <w:rsid w:val="00F07536"/>
    <w:rsid w:val="00F10018"/>
    <w:rsid w:val="00F11B7D"/>
    <w:rsid w:val="00F11DAF"/>
    <w:rsid w:val="00F11E8F"/>
    <w:rsid w:val="00F13269"/>
    <w:rsid w:val="00F14F1A"/>
    <w:rsid w:val="00F178DA"/>
    <w:rsid w:val="00F20474"/>
    <w:rsid w:val="00F2114A"/>
    <w:rsid w:val="00F2321C"/>
    <w:rsid w:val="00F26690"/>
    <w:rsid w:val="00F269EA"/>
    <w:rsid w:val="00F30861"/>
    <w:rsid w:val="00F308C1"/>
    <w:rsid w:val="00F3134B"/>
    <w:rsid w:val="00F328BC"/>
    <w:rsid w:val="00F345F1"/>
    <w:rsid w:val="00F3527E"/>
    <w:rsid w:val="00F36FD1"/>
    <w:rsid w:val="00F407B1"/>
    <w:rsid w:val="00F44062"/>
    <w:rsid w:val="00F44612"/>
    <w:rsid w:val="00F463E9"/>
    <w:rsid w:val="00F46FB8"/>
    <w:rsid w:val="00F51A87"/>
    <w:rsid w:val="00F549E7"/>
    <w:rsid w:val="00F54D4C"/>
    <w:rsid w:val="00F5506F"/>
    <w:rsid w:val="00F6057A"/>
    <w:rsid w:val="00F609F8"/>
    <w:rsid w:val="00F646C5"/>
    <w:rsid w:val="00F66257"/>
    <w:rsid w:val="00F6730E"/>
    <w:rsid w:val="00F67F5B"/>
    <w:rsid w:val="00F72D49"/>
    <w:rsid w:val="00F73DBF"/>
    <w:rsid w:val="00F75234"/>
    <w:rsid w:val="00F76391"/>
    <w:rsid w:val="00F772D0"/>
    <w:rsid w:val="00F77CEC"/>
    <w:rsid w:val="00F80215"/>
    <w:rsid w:val="00F802E3"/>
    <w:rsid w:val="00F807C3"/>
    <w:rsid w:val="00F8133D"/>
    <w:rsid w:val="00F81940"/>
    <w:rsid w:val="00F82B11"/>
    <w:rsid w:val="00F84746"/>
    <w:rsid w:val="00F85C1B"/>
    <w:rsid w:val="00F87F75"/>
    <w:rsid w:val="00F9143B"/>
    <w:rsid w:val="00FA4E82"/>
    <w:rsid w:val="00FA66FB"/>
    <w:rsid w:val="00FA74CB"/>
    <w:rsid w:val="00FB21D1"/>
    <w:rsid w:val="00FB2B96"/>
    <w:rsid w:val="00FB3782"/>
    <w:rsid w:val="00FB3CC8"/>
    <w:rsid w:val="00FB496A"/>
    <w:rsid w:val="00FB6A62"/>
    <w:rsid w:val="00FB6E52"/>
    <w:rsid w:val="00FB7309"/>
    <w:rsid w:val="00FC0B3F"/>
    <w:rsid w:val="00FC1E3C"/>
    <w:rsid w:val="00FC2AB6"/>
    <w:rsid w:val="00FC4234"/>
    <w:rsid w:val="00FC6351"/>
    <w:rsid w:val="00FD20F7"/>
    <w:rsid w:val="00FD30EF"/>
    <w:rsid w:val="00FD38D3"/>
    <w:rsid w:val="00FD3BD6"/>
    <w:rsid w:val="00FE09F3"/>
    <w:rsid w:val="00FE4A40"/>
    <w:rsid w:val="00FE5629"/>
    <w:rsid w:val="00FE62B4"/>
    <w:rsid w:val="00FE6DEC"/>
    <w:rsid w:val="00FF2713"/>
    <w:rsid w:val="00FF35BE"/>
    <w:rsid w:val="00FF3F34"/>
    <w:rsid w:val="00FF46FC"/>
    <w:rsid w:val="00FF5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3CC9"/>
  <w15:chartTrackingRefBased/>
  <w15:docId w15:val="{1AEF6293-6039-4EA2-95B4-06794230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F78"/>
    <w:rPr>
      <w:rFonts w:eastAsiaTheme="majorEastAsia" w:cstheme="majorBidi"/>
      <w:color w:val="272727" w:themeColor="text1" w:themeTint="D8"/>
    </w:rPr>
  </w:style>
  <w:style w:type="paragraph" w:styleId="Title">
    <w:name w:val="Title"/>
    <w:basedOn w:val="Normal"/>
    <w:next w:val="Normal"/>
    <w:link w:val="TitleChar"/>
    <w:uiPriority w:val="10"/>
    <w:qFormat/>
    <w:rsid w:val="00691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F78"/>
    <w:pPr>
      <w:spacing w:before="160"/>
      <w:jc w:val="center"/>
    </w:pPr>
    <w:rPr>
      <w:i/>
      <w:iCs/>
      <w:color w:val="404040" w:themeColor="text1" w:themeTint="BF"/>
    </w:rPr>
  </w:style>
  <w:style w:type="character" w:customStyle="1" w:styleId="QuoteChar">
    <w:name w:val="Quote Char"/>
    <w:basedOn w:val="DefaultParagraphFont"/>
    <w:link w:val="Quote"/>
    <w:uiPriority w:val="29"/>
    <w:rsid w:val="00691F78"/>
    <w:rPr>
      <w:i/>
      <w:iCs/>
      <w:color w:val="404040" w:themeColor="text1" w:themeTint="BF"/>
    </w:rPr>
  </w:style>
  <w:style w:type="paragraph" w:styleId="ListParagraph">
    <w:name w:val="List Paragraph"/>
    <w:basedOn w:val="Normal"/>
    <w:uiPriority w:val="34"/>
    <w:qFormat/>
    <w:rsid w:val="00691F78"/>
    <w:pPr>
      <w:ind w:left="720"/>
      <w:contextualSpacing/>
    </w:pPr>
  </w:style>
  <w:style w:type="character" w:styleId="IntenseEmphasis">
    <w:name w:val="Intense Emphasis"/>
    <w:basedOn w:val="DefaultParagraphFont"/>
    <w:uiPriority w:val="21"/>
    <w:qFormat/>
    <w:rsid w:val="00691F78"/>
    <w:rPr>
      <w:i/>
      <w:iCs/>
      <w:color w:val="0F4761" w:themeColor="accent1" w:themeShade="BF"/>
    </w:rPr>
  </w:style>
  <w:style w:type="paragraph" w:styleId="IntenseQuote">
    <w:name w:val="Intense Quote"/>
    <w:basedOn w:val="Normal"/>
    <w:next w:val="Normal"/>
    <w:link w:val="IntenseQuoteChar"/>
    <w:uiPriority w:val="30"/>
    <w:qFormat/>
    <w:rsid w:val="00691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F78"/>
    <w:rPr>
      <w:i/>
      <w:iCs/>
      <w:color w:val="0F4761" w:themeColor="accent1" w:themeShade="BF"/>
    </w:rPr>
  </w:style>
  <w:style w:type="character" w:styleId="IntenseReference">
    <w:name w:val="Intense Reference"/>
    <w:basedOn w:val="DefaultParagraphFont"/>
    <w:uiPriority w:val="32"/>
    <w:qFormat/>
    <w:rsid w:val="00691F78"/>
    <w:rPr>
      <w:b/>
      <w:bCs/>
      <w:smallCaps/>
      <w:color w:val="0F4761" w:themeColor="accent1" w:themeShade="BF"/>
      <w:spacing w:val="5"/>
    </w:rPr>
  </w:style>
  <w:style w:type="paragraph" w:styleId="FootnoteText">
    <w:name w:val="footnote text"/>
    <w:basedOn w:val="Normal"/>
    <w:link w:val="FootnoteTextChar"/>
    <w:uiPriority w:val="99"/>
    <w:semiHidden/>
    <w:unhideWhenUsed/>
    <w:rsid w:val="007464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486"/>
    <w:rPr>
      <w:sz w:val="20"/>
      <w:szCs w:val="20"/>
    </w:rPr>
  </w:style>
  <w:style w:type="character" w:styleId="FootnoteReference">
    <w:name w:val="footnote reference"/>
    <w:basedOn w:val="DefaultParagraphFont"/>
    <w:uiPriority w:val="99"/>
    <w:semiHidden/>
    <w:unhideWhenUsed/>
    <w:rsid w:val="00746486"/>
    <w:rPr>
      <w:vertAlign w:val="superscript"/>
    </w:rPr>
  </w:style>
  <w:style w:type="character" w:styleId="Hyperlink">
    <w:name w:val="Hyperlink"/>
    <w:basedOn w:val="DefaultParagraphFont"/>
    <w:uiPriority w:val="99"/>
    <w:unhideWhenUsed/>
    <w:rsid w:val="00746486"/>
    <w:rPr>
      <w:color w:val="467886" w:themeColor="hyperlink"/>
      <w:u w:val="single"/>
    </w:rPr>
  </w:style>
  <w:style w:type="character" w:styleId="UnresolvedMention">
    <w:name w:val="Unresolved Mention"/>
    <w:basedOn w:val="DefaultParagraphFont"/>
    <w:uiPriority w:val="99"/>
    <w:semiHidden/>
    <w:unhideWhenUsed/>
    <w:rsid w:val="00746486"/>
    <w:rPr>
      <w:color w:val="605E5C"/>
      <w:shd w:val="clear" w:color="auto" w:fill="E1DFDD"/>
    </w:rPr>
  </w:style>
  <w:style w:type="table" w:styleId="TableGrid">
    <w:name w:val="Table Grid"/>
    <w:basedOn w:val="TableNormal"/>
    <w:uiPriority w:val="39"/>
    <w:rsid w:val="00DF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5F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515FE2"/>
  </w:style>
  <w:style w:type="paragraph" w:styleId="Footer">
    <w:name w:val="footer"/>
    <w:basedOn w:val="Normal"/>
    <w:link w:val="FooterChar"/>
    <w:uiPriority w:val="99"/>
    <w:unhideWhenUsed/>
    <w:rsid w:val="00515F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515FE2"/>
  </w:style>
  <w:style w:type="character" w:styleId="FollowedHyperlink">
    <w:name w:val="FollowedHyperlink"/>
    <w:basedOn w:val="DefaultParagraphFont"/>
    <w:uiPriority w:val="99"/>
    <w:semiHidden/>
    <w:unhideWhenUsed/>
    <w:rsid w:val="0027396F"/>
    <w:rPr>
      <w:color w:val="96607D" w:themeColor="followedHyperlink"/>
      <w:u w:val="single"/>
    </w:rPr>
  </w:style>
  <w:style w:type="paragraph" w:styleId="Revision">
    <w:name w:val="Revision"/>
    <w:hidden/>
    <w:uiPriority w:val="99"/>
    <w:semiHidden/>
    <w:rsid w:val="003736EF"/>
    <w:pPr>
      <w:spacing w:after="0" w:line="240" w:lineRule="auto"/>
    </w:pPr>
  </w:style>
  <w:style w:type="character" w:styleId="CommentReference">
    <w:name w:val="annotation reference"/>
    <w:basedOn w:val="DefaultParagraphFont"/>
    <w:uiPriority w:val="99"/>
    <w:semiHidden/>
    <w:unhideWhenUsed/>
    <w:rsid w:val="006F278B"/>
    <w:rPr>
      <w:sz w:val="16"/>
      <w:szCs w:val="16"/>
    </w:rPr>
  </w:style>
  <w:style w:type="paragraph" w:styleId="CommentText">
    <w:name w:val="annotation text"/>
    <w:basedOn w:val="Normal"/>
    <w:link w:val="CommentTextChar"/>
    <w:uiPriority w:val="99"/>
    <w:unhideWhenUsed/>
    <w:rsid w:val="006F278B"/>
    <w:pPr>
      <w:spacing w:line="240" w:lineRule="auto"/>
    </w:pPr>
    <w:rPr>
      <w:sz w:val="20"/>
      <w:szCs w:val="20"/>
    </w:rPr>
  </w:style>
  <w:style w:type="character" w:customStyle="1" w:styleId="CommentTextChar">
    <w:name w:val="Comment Text Char"/>
    <w:basedOn w:val="DefaultParagraphFont"/>
    <w:link w:val="CommentText"/>
    <w:uiPriority w:val="99"/>
    <w:rsid w:val="006F278B"/>
    <w:rPr>
      <w:sz w:val="20"/>
      <w:szCs w:val="20"/>
    </w:rPr>
  </w:style>
  <w:style w:type="paragraph" w:styleId="CommentSubject">
    <w:name w:val="annotation subject"/>
    <w:basedOn w:val="CommentText"/>
    <w:next w:val="CommentText"/>
    <w:link w:val="CommentSubjectChar"/>
    <w:uiPriority w:val="99"/>
    <w:semiHidden/>
    <w:unhideWhenUsed/>
    <w:rsid w:val="006F278B"/>
    <w:rPr>
      <w:b/>
      <w:bCs/>
    </w:rPr>
  </w:style>
  <w:style w:type="character" w:customStyle="1" w:styleId="CommentSubjectChar">
    <w:name w:val="Comment Subject Char"/>
    <w:basedOn w:val="CommentTextChar"/>
    <w:link w:val="CommentSubject"/>
    <w:uiPriority w:val="99"/>
    <w:semiHidden/>
    <w:rsid w:val="006F27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8762">
      <w:bodyDiv w:val="1"/>
      <w:marLeft w:val="0"/>
      <w:marRight w:val="0"/>
      <w:marTop w:val="0"/>
      <w:marBottom w:val="0"/>
      <w:divBdr>
        <w:top w:val="none" w:sz="0" w:space="0" w:color="auto"/>
        <w:left w:val="none" w:sz="0" w:space="0" w:color="auto"/>
        <w:bottom w:val="none" w:sz="0" w:space="0" w:color="auto"/>
        <w:right w:val="none" w:sz="0" w:space="0" w:color="auto"/>
      </w:divBdr>
      <w:divsChild>
        <w:div w:id="1598635848">
          <w:marLeft w:val="0"/>
          <w:marRight w:val="0"/>
          <w:marTop w:val="480"/>
          <w:marBottom w:val="240"/>
          <w:divBdr>
            <w:top w:val="none" w:sz="0" w:space="0" w:color="auto"/>
            <w:left w:val="none" w:sz="0" w:space="0" w:color="auto"/>
            <w:bottom w:val="none" w:sz="0" w:space="0" w:color="auto"/>
            <w:right w:val="none" w:sz="0" w:space="0" w:color="auto"/>
          </w:divBdr>
        </w:div>
        <w:div w:id="1029070474">
          <w:marLeft w:val="0"/>
          <w:marRight w:val="0"/>
          <w:marTop w:val="0"/>
          <w:marBottom w:val="567"/>
          <w:divBdr>
            <w:top w:val="none" w:sz="0" w:space="0" w:color="auto"/>
            <w:left w:val="none" w:sz="0" w:space="0" w:color="auto"/>
            <w:bottom w:val="none" w:sz="0" w:space="0" w:color="auto"/>
            <w:right w:val="none" w:sz="0" w:space="0" w:color="auto"/>
          </w:divBdr>
        </w:div>
      </w:divsChild>
    </w:div>
    <w:div w:id="1111365001">
      <w:bodyDiv w:val="1"/>
      <w:marLeft w:val="0"/>
      <w:marRight w:val="0"/>
      <w:marTop w:val="0"/>
      <w:marBottom w:val="0"/>
      <w:divBdr>
        <w:top w:val="none" w:sz="0" w:space="0" w:color="auto"/>
        <w:left w:val="none" w:sz="0" w:space="0" w:color="auto"/>
        <w:bottom w:val="none" w:sz="0" w:space="0" w:color="auto"/>
        <w:right w:val="none" w:sz="0" w:space="0" w:color="auto"/>
      </w:divBdr>
      <w:divsChild>
        <w:div w:id="1154417144">
          <w:marLeft w:val="0"/>
          <w:marRight w:val="0"/>
          <w:marTop w:val="480"/>
          <w:marBottom w:val="240"/>
          <w:divBdr>
            <w:top w:val="none" w:sz="0" w:space="0" w:color="auto"/>
            <w:left w:val="none" w:sz="0" w:space="0" w:color="auto"/>
            <w:bottom w:val="none" w:sz="0" w:space="0" w:color="auto"/>
            <w:right w:val="none" w:sz="0" w:space="0" w:color="auto"/>
          </w:divBdr>
        </w:div>
        <w:div w:id="16745016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79475-darbibas-programmas-izaugsme-un-nodarbinatiba-1-1-1-specifiska-atbalsta-merka-palielinat-latvijas-zinatnisko-instituciju" TargetMode="External"/><Relationship Id="rId13" Type="http://schemas.openxmlformats.org/officeDocument/2006/relationships/hyperlink" Target="https://likumi.lv/ta/id/274671-atbalsta-pieskirsanas-kartiba-dalibai-starptautiskas-sadarbibas-programmas-petniecibas-un-tehnologiju-joma" TargetMode="External"/><Relationship Id="rId18" Type="http://schemas.openxmlformats.org/officeDocument/2006/relationships/hyperlink" Target="https://likumi.lv/ta/id/352914-par-ilgtermina-valsts-petijumu-programmu-inovaciju-fonds--ilgtermina-petijumu-programma" TargetMode="External"/><Relationship Id="rId3" Type="http://schemas.openxmlformats.org/officeDocument/2006/relationships/hyperlink" Target="https://likumi.lv/ta/id/349735-grozijumi-ministru-kabineta-2018-gada-4-septembra-noteikumos-nr-560-valsts-petijumu-programmu-projektu-istenosanas-kartiba-" TargetMode="External"/><Relationship Id="rId21" Type="http://schemas.openxmlformats.org/officeDocument/2006/relationships/hyperlink" Target="https://likumi.lv/ta/id/343185" TargetMode="External"/><Relationship Id="rId7" Type="http://schemas.openxmlformats.org/officeDocument/2006/relationships/hyperlink" Target="http://data.europa.eu/eli/reg/2013/1303/oj" TargetMode="External"/><Relationship Id="rId12" Type="http://schemas.openxmlformats.org/officeDocument/2006/relationships/hyperlink" Target="http://data.europa.eu/eli/reg/2021/695/oj" TargetMode="External"/><Relationship Id="rId17" Type="http://schemas.openxmlformats.org/officeDocument/2006/relationships/hyperlink" Target="https://likumi.lv/ta/id/349735-grozijumi-ministru-kabineta-2018-gada-4-septembra-noteikumos-nr-560-valsts-petijumu-programmu-projektu-istenosanas-kartiba-" TargetMode="External"/><Relationship Id="rId2" Type="http://schemas.openxmlformats.org/officeDocument/2006/relationships/hyperlink" Target="https://likumi.lv/ta/id/342444-grozijumi-ministru-kabineta-2018-gada-4-septembra-noteikumos-nr-560-valsts-petijumu-programmu-projektu-istenosanas-kartiba-" TargetMode="External"/><Relationship Id="rId16" Type="http://schemas.openxmlformats.org/officeDocument/2006/relationships/hyperlink" Target="https://likumi.lv/ta/id/353061-eiropas-savienibas-kohezijas-politikas-programmas-2021-2027-gadam-1-1-1-specifiska-atbalsta-merka-petniecibas-un-inovaciju" TargetMode="External"/><Relationship Id="rId20" Type="http://schemas.openxmlformats.org/officeDocument/2006/relationships/hyperlink" Target="https://likumi.lv/ta/id/347446-eiropas-savienibas-kohezijas-politikas-programmas-2021-2027-gadam-1-2-1-specifiska-atbalsta-merka-petniecibas-un-inovaciju" TargetMode="External"/><Relationship Id="rId1" Type="http://schemas.openxmlformats.org/officeDocument/2006/relationships/hyperlink" Target="https://likumi.lv/ta/id/301438-valsts-petijumu-programmu-projektu-istenosanas-kartiba" TargetMode="External"/><Relationship Id="rId6" Type="http://schemas.openxmlformats.org/officeDocument/2006/relationships/hyperlink" Target="https://www.lzp.gov.lv/lv/informacija-istenotajiem" TargetMode="External"/><Relationship Id="rId11" Type="http://schemas.openxmlformats.org/officeDocument/2006/relationships/hyperlink" Target="https://likumi.lv/ta/id/349180-eiropas-savienibas-kohezijas-politikas-programmas-2021-2027-gadam-1-1-1-specifiska-atbalsta-merka-petniecibas-un-inovaciju-kapa..." TargetMode="External"/><Relationship Id="rId5" Type="http://schemas.openxmlformats.org/officeDocument/2006/relationships/hyperlink" Target="https://likumi.lv/ta/id/295784-fundamentalo-un-lietisko-petijumu-projektu-izvertesanas-un-finansejuma-administresanas-kartiba" TargetMode="External"/><Relationship Id="rId15" Type="http://schemas.openxmlformats.org/officeDocument/2006/relationships/hyperlink" Target="https://likumi.lv/ta/id/279475-darbibas-programmas-izaugsme-un-nodarbinatiba-1-1-1-specifiska-atbalsta-merka-palielinat-latvijas-zinatnisko-instituciju" TargetMode="External"/><Relationship Id="rId23" Type="http://schemas.openxmlformats.org/officeDocument/2006/relationships/hyperlink" Target="https://www.liaa.gov.lv/lv/programmas/komercializacijas-atbalsts" TargetMode="External"/><Relationship Id="rId10" Type="http://schemas.openxmlformats.org/officeDocument/2006/relationships/hyperlink" Target="https://likumi.lv/ta/id/279803-darbibas-programmas-izaugsme-un-nodarbinatiba-1-1-1-specifiska-atbalsta-merka-palielinat-latvijas-zinatnisko-instituciju" TargetMode="External"/><Relationship Id="rId19" Type="http://schemas.openxmlformats.org/officeDocument/2006/relationships/hyperlink" Target="https://likumi.lv/ta/id/286262-darbibas-programmas-izaugsme-un-nodarbinatiba-1-2-1-specifiska-atbalsta-merka-palielinat-privata-sektora-investicijas" TargetMode="External"/><Relationship Id="rId4" Type="http://schemas.openxmlformats.org/officeDocument/2006/relationships/hyperlink" Target="https://www.lzp.gov.lv/lv/informacija-valsts-petijumu-programmas-istenotajiem" TargetMode="External"/><Relationship Id="rId9" Type="http://schemas.openxmlformats.org/officeDocument/2006/relationships/hyperlink" Target="https://likumi.lv/ta/id/353061-eiropas-savienibas-kohezijas-politikas-programmas-2021-2027-gadam-1-1-1-specifiska-atbalsta-merka-petniecibas-un-inovaciju" TargetMode="External"/><Relationship Id="rId14" Type="http://schemas.openxmlformats.org/officeDocument/2006/relationships/hyperlink" Target="https://likumi.lv/ta/id/274671-atbalsta-pieskirsanas-kartiba-dalibai-starptautiskas-sadarbibas-programmas-petniecibas-un-tehnologiju-joma" TargetMode="External"/><Relationship Id="rId22" Type="http://schemas.openxmlformats.org/officeDocument/2006/relationships/hyperlink" Target="https://likumi.lv/ta/id/337230-valsts-un-eiropas-savienibas-atbalsta-pieskirsanas-kartiba-pasakuma-inovacija-pilotprojekti-sadarbiba-ar-zinatni-zvejniec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869BA7551A46E4392619E872C1FF755" ma:contentTypeVersion="14" ma:contentTypeDescription="Izveidot jaunu dokumentu." ma:contentTypeScope="" ma:versionID="69cd2671d2e8bfe964320f54d5c02168">
  <xsd:schema xmlns:xsd="http://www.w3.org/2001/XMLSchema" xmlns:xs="http://www.w3.org/2001/XMLSchema" xmlns:p="http://schemas.microsoft.com/office/2006/metadata/properties" xmlns:ns2="42ca82fe-85d3-4aff-805d-036b054872d1" xmlns:ns3="3366d9fb-0c0a-44fa-9ab1-8bc2022a177a" targetNamespace="http://schemas.microsoft.com/office/2006/metadata/properties" ma:root="true" ma:fieldsID="14275a0ffeed2df46624c2b5b62a31ed" ns2:_="" ns3:_="">
    <xsd:import namespace="42ca82fe-85d3-4aff-805d-036b054872d1"/>
    <xsd:import namespace="3366d9fb-0c0a-44fa-9ab1-8bc2022a17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a82fe-85d3-4aff-805d-036b0548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66d9fb-0c0a-44fa-9ab1-8bc2022a177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2b8a2ef5-26fd-48ae-ad1d-b1f79a2704d5}" ma:internalName="TaxCatchAll" ma:showField="CatchAllData" ma:web="3366d9fb-0c0a-44fa-9ab1-8bc2022a1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366d9fb-0c0a-44fa-9ab1-8bc2022a177a">
      <UserInfo>
        <DisplayName/>
        <AccountId xsi:nil="true"/>
        <AccountType/>
      </UserInfo>
    </SharedWithUsers>
    <TaxCatchAll xmlns="3366d9fb-0c0a-44fa-9ab1-8bc2022a177a" xsi:nil="true"/>
    <lcf76f155ced4ddcb4097134ff3c332f xmlns="42ca82fe-85d3-4aff-805d-036b05487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0C72E-7A0B-4CFD-9809-382EDBCC0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a82fe-85d3-4aff-805d-036b054872d1"/>
    <ds:schemaRef ds:uri="3366d9fb-0c0a-44fa-9ab1-8bc2022a1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F6BA1-65C6-4DE0-A258-59FFB366B380}">
  <ds:schemaRefs>
    <ds:schemaRef ds:uri="http://schemas.openxmlformats.org/officeDocument/2006/bibliography"/>
  </ds:schemaRefs>
</ds:datastoreItem>
</file>

<file path=customXml/itemProps3.xml><?xml version="1.0" encoding="utf-8"?>
<ds:datastoreItem xmlns:ds="http://schemas.openxmlformats.org/officeDocument/2006/customXml" ds:itemID="{3479A024-2F1E-4694-A5AD-0743808A7278}">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42ca82fe-85d3-4aff-805d-036b054872d1"/>
    <ds:schemaRef ds:uri="3366d9fb-0c0a-44fa-9ab1-8bc2022a177a"/>
    <ds:schemaRef ds:uri="http://schemas.openxmlformats.org/package/2006/metadata/core-propertie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AC882631-272F-4FD9-BC28-A70CF25B5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24759</Words>
  <Characters>14114</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Jolanta Vanadziņa</cp:lastModifiedBy>
  <cp:revision>3</cp:revision>
  <cp:lastPrinted>2024-10-30T12:20:00Z</cp:lastPrinted>
  <dcterms:created xsi:type="dcterms:W3CDTF">2025-10-29T12:14:00Z</dcterms:created>
  <dcterms:modified xsi:type="dcterms:W3CDTF">2025-10-30T06:53:00Z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1660000</vt:r8>
  </property>
  <property fmtid="{D5CDD505-2E9C-101B-9397-08002B2CF9AE}" pid="3" name="ContentTypeId">
    <vt:lpwstr>0x0101004869BA7551A46E4392619E872C1FF755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