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D529" w14:textId="3300F87D" w:rsidR="00EE4585" w:rsidRPr="006601B1" w:rsidRDefault="00F679BD" w:rsidP="00EE4585">
      <w:pPr>
        <w:jc w:val="right"/>
        <w:rPr>
          <w:b/>
          <w:sz w:val="28"/>
          <w:szCs w:val="28"/>
        </w:rPr>
      </w:pPr>
      <w:r>
        <w:rPr>
          <w:b/>
        </w:rPr>
        <w:t>Annex 7</w:t>
      </w:r>
      <w:r>
        <w:rPr>
          <w:b/>
          <w:sz w:val="28"/>
        </w:rPr>
        <w:t xml:space="preserve"> </w:t>
      </w:r>
    </w:p>
    <w:p w14:paraId="44436FC5" w14:textId="77777777" w:rsidR="00EE4585" w:rsidRPr="00F23500" w:rsidRDefault="003E2AA8" w:rsidP="00101067">
      <w:pPr>
        <w:jc w:val="right"/>
      </w:pPr>
      <w:r>
        <w:t xml:space="preserve">to the State Research Programme </w:t>
      </w:r>
    </w:p>
    <w:p w14:paraId="047D287D" w14:textId="77777777" w:rsidR="002568C2" w:rsidRDefault="003E2AA8" w:rsidP="00101067">
      <w:pPr>
        <w:jc w:val="right"/>
      </w:pPr>
      <w:r>
        <w:t>“</w:t>
      </w:r>
      <w:bookmarkStart w:id="0" w:name="_Hlk140070864"/>
      <w:sdt>
        <w:sdtPr>
          <w:id w:val="2060594541"/>
          <w:placeholder>
            <w:docPart w:val="9FD35F6569754809BCF39A6DA99C4BB1"/>
          </w:placeholder>
        </w:sdtPr>
        <w:sdtContent>
          <w:sdt>
            <w:sdtPr>
              <w:id w:val="833116786"/>
              <w:placeholder>
                <w:docPart w:val="F3225BBDF12445C3A16F822795417012"/>
              </w:placeholder>
            </w:sdtPr>
            <w:sdtContent>
              <w:r>
                <w:t>Agricultural and forest resources research for a secure and resilient Latvia</w:t>
              </w:r>
            </w:sdtContent>
          </w:sdt>
        </w:sdtContent>
      </w:sdt>
      <w:bookmarkEnd w:id="0"/>
      <w:r>
        <w:t>”</w:t>
      </w:r>
    </w:p>
    <w:p w14:paraId="64B69207" w14:textId="0101B10F" w:rsidR="009C28E6" w:rsidRPr="002568C2" w:rsidRDefault="009C28E6" w:rsidP="00101067">
      <w:pPr>
        <w:jc w:val="right"/>
        <w:rPr>
          <w:color w:val="000000"/>
        </w:rPr>
      </w:pPr>
      <w:r>
        <w:rPr>
          <w:color w:val="000000"/>
        </w:rPr>
        <w:t>2026-2028</w:t>
      </w:r>
    </w:p>
    <w:p w14:paraId="47699F00" w14:textId="3BAC86A7" w:rsidR="003E2AA8" w:rsidRPr="006601B1" w:rsidRDefault="003E2AA8" w:rsidP="00101067">
      <w:pPr>
        <w:jc w:val="right"/>
      </w:pPr>
      <w:r>
        <w:t>Regulations of the open call for project applications</w:t>
      </w:r>
    </w:p>
    <w:p w14:paraId="73211D85" w14:textId="77777777" w:rsidR="00101067" w:rsidRPr="006601B1" w:rsidRDefault="00101067" w:rsidP="00101067">
      <w:pPr>
        <w:jc w:val="right"/>
        <w:rPr>
          <w:b/>
          <w:lang w:val="lv-LV"/>
        </w:rPr>
      </w:pPr>
    </w:p>
    <w:p w14:paraId="770044C3" w14:textId="032AC912" w:rsidR="00342351" w:rsidRPr="006601B1" w:rsidRDefault="00342351" w:rsidP="00D053AC">
      <w:pPr>
        <w:spacing w:before="240"/>
        <w:jc w:val="center"/>
        <w:rPr>
          <w:b/>
        </w:rPr>
      </w:pPr>
      <w:r>
        <w:rPr>
          <w:b/>
        </w:rPr>
        <w:t>Methodology for carrying out the expert assessment</w:t>
      </w:r>
    </w:p>
    <w:p w14:paraId="63F14B45" w14:textId="40AFA8DD" w:rsidR="00EE4585" w:rsidRPr="006601B1" w:rsidRDefault="00EE4585" w:rsidP="00342351">
      <w:pPr>
        <w:jc w:val="center"/>
        <w:rPr>
          <w:b/>
        </w:rPr>
      </w:pPr>
      <w:r>
        <w:rPr>
          <w:b/>
        </w:rPr>
        <w:t xml:space="preserve">(for the Project Proposal, </w:t>
      </w:r>
      <w:sdt>
        <w:sdtPr>
          <w:rPr>
            <w:b/>
          </w:rPr>
          <w:id w:val="1434325959"/>
          <w:placeholder>
            <w:docPart w:val="DefaultPlaceholder_-1854013440"/>
          </w:placeholder>
        </w:sdtPr>
        <w:sdtContent>
          <w:r>
            <w:rPr>
              <w:b/>
            </w:rPr>
            <w:t>Mid-term/</w:t>
          </w:r>
        </w:sdtContent>
      </w:sdt>
      <w:r>
        <w:rPr>
          <w:b/>
        </w:rPr>
        <w:t>Final Scientific Reports of the Project)</w:t>
      </w:r>
    </w:p>
    <w:p w14:paraId="5C9C65F5" w14:textId="77777777" w:rsidR="00342351" w:rsidRPr="006601B1" w:rsidRDefault="00342351" w:rsidP="006E2F6D">
      <w:pPr>
        <w:rPr>
          <w:lang w:val="lv-LV"/>
        </w:rPr>
      </w:pPr>
    </w:p>
    <w:sdt>
      <w:sdtPr>
        <w:rPr>
          <w:rFonts w:ascii="Times New Roman" w:eastAsia="Times New Roman" w:hAnsi="Times New Roman" w:cs="Times New Roman"/>
          <w:color w:val="auto"/>
          <w:sz w:val="24"/>
          <w:lang w:bidi="en-US"/>
        </w:rPr>
        <w:id w:val="2399772"/>
        <w:docPartObj>
          <w:docPartGallery w:val="Table of Contents"/>
          <w:docPartUnique/>
        </w:docPartObj>
      </w:sdtPr>
      <w:sdtContent>
        <w:p w14:paraId="7EC3BC8F" w14:textId="64FD9167" w:rsidR="00F03254" w:rsidRPr="001E7C0A" w:rsidRDefault="00F03254" w:rsidP="00D053AC">
          <w:pPr>
            <w:pStyle w:val="TOCHeading"/>
          </w:pPr>
          <w:r>
            <w:rPr>
              <w:rFonts w:ascii="Times New Roman" w:hAnsi="Times New Roman"/>
              <w:color w:val="auto"/>
            </w:rPr>
            <w:t>Contents</w:t>
          </w:r>
          <w:r>
            <w:t xml:space="preserve"> </w:t>
          </w:r>
        </w:p>
        <w:p w14:paraId="3625BFB2" w14:textId="59CE8C0D" w:rsidR="00F03254" w:rsidRPr="006601B1" w:rsidRDefault="00F03254" w:rsidP="00F03254">
          <w:pPr>
            <w:pStyle w:val="TOC1"/>
          </w:pPr>
          <w:r>
            <w:t>Introduction</w:t>
          </w:r>
          <w:r>
            <w:ptab w:relativeTo="margin" w:alignment="right" w:leader="dot"/>
          </w:r>
          <w:r>
            <w:t>1</w:t>
          </w:r>
        </w:p>
        <w:p w14:paraId="6137F258" w14:textId="58A216EA" w:rsidR="00F03254" w:rsidRPr="006601B1" w:rsidRDefault="00F03254" w:rsidP="00F03254">
          <w:pPr>
            <w:pStyle w:val="TOC2"/>
          </w:pPr>
          <w:r>
            <w:t>1 Definitions of Terms</w:t>
          </w:r>
          <w:r>
            <w:ptab w:relativeTo="margin" w:alignment="right" w:leader="dot"/>
          </w:r>
          <w:r>
            <w:t>3</w:t>
          </w:r>
        </w:p>
        <w:p w14:paraId="3A58FC46" w14:textId="478733D4" w:rsidR="00F03254" w:rsidRPr="006601B1" w:rsidRDefault="00F03254" w:rsidP="00F03254">
          <w:pPr>
            <w:pStyle w:val="TOC3"/>
            <w:rPr>
              <w:rFonts w:ascii="Times New Roman" w:hAnsi="Times New Roman"/>
              <w:sz w:val="24"/>
              <w:szCs w:val="24"/>
            </w:rPr>
          </w:pPr>
          <w:r>
            <w:rPr>
              <w:rFonts w:ascii="Times New Roman" w:hAnsi="Times New Roman"/>
              <w:sz w:val="24"/>
            </w:rPr>
            <w:t>2 Scientific Expert Evaluation of the Project Proposal</w:t>
          </w:r>
          <w:r>
            <w:rPr>
              <w:rFonts w:ascii="Times New Roman" w:hAnsi="Times New Roman"/>
              <w:sz w:val="24"/>
            </w:rPr>
            <w:ptab w:relativeTo="margin" w:alignment="right" w:leader="dot"/>
          </w:r>
          <w:r>
            <w:rPr>
              <w:rFonts w:ascii="Times New Roman" w:hAnsi="Times New Roman"/>
              <w:sz w:val="24"/>
            </w:rPr>
            <w:t>4</w:t>
          </w:r>
        </w:p>
        <w:p w14:paraId="1B8EBC06" w14:textId="77777777" w:rsidR="00F03254" w:rsidRPr="006601B1" w:rsidRDefault="00F03254" w:rsidP="00F03254">
          <w:r>
            <w:t>2.1 Individual Evaluation of the Project Proposal……………………………………………………</w:t>
          </w:r>
          <w:proofErr w:type="gramStart"/>
          <w:r>
            <w:t>…..</w:t>
          </w:r>
          <w:proofErr w:type="gramEnd"/>
          <w:r>
            <w:t>4</w:t>
          </w:r>
        </w:p>
        <w:p w14:paraId="6509C260" w14:textId="5AFB9580" w:rsidR="00F03254" w:rsidRPr="006601B1" w:rsidRDefault="00F03254" w:rsidP="00361849">
          <w:pPr>
            <w:spacing w:after="100"/>
          </w:pPr>
          <w:r>
            <w:t>2.2 Consolidated Evaluation of the Project Proposal………………………………………………</w:t>
          </w:r>
          <w:r w:rsidR="00186514">
            <w:t>...</w:t>
          </w:r>
          <w:proofErr w:type="gramStart"/>
          <w:r>
            <w:t>…..</w:t>
          </w:r>
          <w:proofErr w:type="gramEnd"/>
          <w:r>
            <w:t>8</w:t>
          </w:r>
        </w:p>
        <w:p w14:paraId="02D2EF43" w14:textId="42116BE1" w:rsidR="00F03254" w:rsidRPr="006601B1" w:rsidRDefault="00F03254" w:rsidP="00F03254">
          <w:pPr>
            <w:pStyle w:val="TOC1"/>
          </w:pPr>
          <w:r>
            <w:t>3 Scientific Expert Evaluation of the Mid-term and Final Scientific Reports of the Project</w:t>
          </w:r>
          <w:r>
            <w:ptab w:relativeTo="margin" w:alignment="right" w:leader="dot"/>
          </w:r>
          <w:r>
            <w:t>9</w:t>
          </w:r>
        </w:p>
        <w:p w14:paraId="71318B0B" w14:textId="368518E4" w:rsidR="00F03254" w:rsidRPr="006601B1" w:rsidRDefault="00F03254" w:rsidP="00F03254">
          <w:pPr>
            <w:pStyle w:val="TOC2"/>
          </w:pPr>
          <w:r>
            <w:t>3.1 Individual Evaluation of the Mid-term and Final Scientific Reports of the Project</w:t>
          </w:r>
          <w:r>
            <w:ptab w:relativeTo="margin" w:alignment="right" w:leader="dot"/>
          </w:r>
          <w:r>
            <w:t>10</w:t>
          </w:r>
        </w:p>
        <w:p w14:paraId="4A950F87" w14:textId="2B18B63A" w:rsidR="00F03254" w:rsidRPr="006601B1" w:rsidRDefault="00F03254" w:rsidP="00F03254">
          <w:pPr>
            <w:pStyle w:val="TOC3"/>
            <w:rPr>
              <w:rFonts w:ascii="Times New Roman" w:hAnsi="Times New Roman"/>
              <w:sz w:val="24"/>
              <w:szCs w:val="24"/>
            </w:rPr>
          </w:pPr>
          <w:r>
            <w:rPr>
              <w:rFonts w:ascii="Times New Roman" w:hAnsi="Times New Roman"/>
              <w:sz w:val="24"/>
            </w:rPr>
            <w:t>3.2 Consolidated Evaluation of the Mid-term and Final Scientific Reports of the Project</w:t>
          </w:r>
          <w:r>
            <w:rPr>
              <w:rFonts w:ascii="Times New Roman" w:hAnsi="Times New Roman"/>
              <w:sz w:val="24"/>
            </w:rPr>
            <w:ptab w:relativeTo="margin" w:alignment="right" w:leader="dot"/>
          </w:r>
          <w:r>
            <w:rPr>
              <w:rFonts w:ascii="Times New Roman" w:hAnsi="Times New Roman"/>
              <w:sz w:val="24"/>
            </w:rPr>
            <w:t>13</w:t>
          </w:r>
        </w:p>
        <w:p w14:paraId="14B01D90" w14:textId="7406E529" w:rsidR="00F03254" w:rsidRPr="006601B1" w:rsidRDefault="00F03254" w:rsidP="00F03254">
          <w:r>
            <w:t>3.3 Assessment of the objective of the final scientific report…………………………………</w:t>
          </w:r>
          <w:r w:rsidR="00186514">
            <w:t>….</w:t>
          </w:r>
          <w:r>
            <w:t>…….13</w:t>
          </w:r>
        </w:p>
      </w:sdtContent>
    </w:sdt>
    <w:p w14:paraId="2845663E" w14:textId="77777777" w:rsidR="006E2F6D" w:rsidRPr="006601B1" w:rsidRDefault="006E2F6D" w:rsidP="006E2F6D">
      <w:pPr>
        <w:rPr>
          <w:lang w:val="lv-LV"/>
        </w:rPr>
      </w:pPr>
    </w:p>
    <w:p w14:paraId="58767652" w14:textId="4CE4E140" w:rsidR="00EE5F77" w:rsidRPr="006601B1" w:rsidRDefault="00EE5F77" w:rsidP="00D053AC">
      <w:pPr>
        <w:pStyle w:val="Heading1"/>
      </w:pPr>
      <w:bookmarkStart w:id="1" w:name="_Toc143245574"/>
      <w:r>
        <w:t>Introduction</w:t>
      </w:r>
      <w:bookmarkEnd w:id="1"/>
    </w:p>
    <w:p w14:paraId="4470F000" w14:textId="1FF9E8AC" w:rsidR="00EE5F77" w:rsidRPr="006601B1" w:rsidRDefault="00EE5F77" w:rsidP="00EE5F77">
      <w:pPr>
        <w:rPr>
          <w:lang w:val="lv-LV"/>
        </w:rPr>
      </w:pPr>
    </w:p>
    <w:p w14:paraId="74A47A07" w14:textId="24219FA5" w:rsidR="00D053AC" w:rsidRDefault="00EE5F77" w:rsidP="00D053AC">
      <w:pPr>
        <w:spacing w:before="120" w:after="120"/>
      </w:pPr>
      <w:r>
        <w:tab/>
        <w:t>The “Expert Assessment Methodology (for the project proposal, project mid-term/final scientific report)” (hereinafter – the methodology) was drafted on the basis of  Cabinet Regulation No. 560 of 4 September 2018 “Procedure for Implementing State Research Programmes” (hereinafter – the Cabinet Regulation) and in compliance with the Cabinet Order No. 789 of 2 December 2025 “On the National Research Programme “Agricultural and forest resources research for a secure and resilient Latvia 2026-2028”” (hereinafter – the Cabinet Order) and the regulations (hereinafter – the Regulations) for open call for project applications (hereinafter – the Open Call) of the State Research Programme “</w:t>
      </w:r>
      <w:sdt>
        <w:sdtPr>
          <w:id w:val="599835969"/>
          <w:placeholder>
            <w:docPart w:val="CCEC42790EA844A4B2C66F3BCD050EB2"/>
          </w:placeholder>
        </w:sdtPr>
        <w:sdtContent>
          <w:r>
            <w:t>Agricultural and forest resources research for a secure and resilient Latvia 2026-2028</w:t>
          </w:r>
        </w:sdtContent>
      </w:sdt>
      <w:r>
        <w:t>” approved on</w:t>
      </w:r>
      <w:sdt>
        <w:sdtPr>
          <w:id w:val="798882504"/>
          <w:placeholder>
            <w:docPart w:val="DefaultPlaceholder_-1854013440"/>
          </w:placeholder>
        </w:sdtPr>
        <w:sdtContent>
          <w:r>
            <w:t xml:space="preserve"> </w:t>
          </w:r>
        </w:sdtContent>
      </w:sdt>
      <w:r>
        <w:rPr>
          <w:color w:val="000000"/>
        </w:rPr>
        <w:t xml:space="preserve">17 September 2025 </w:t>
      </w:r>
      <w:r>
        <w:t>by the Implementation and Supervision Commission of the “</w:t>
      </w:r>
      <w:sdt>
        <w:sdtPr>
          <w:id w:val="-87932330"/>
          <w:placeholder>
            <w:docPart w:val="E66A7F09379544018F5B8A7CDE508A18"/>
          </w:placeholder>
        </w:sdtPr>
        <w:sdtContent>
          <w:r>
            <w:t>Agricultural and forest resources research for a secure and resilient Latvia 2026-2028</w:t>
          </w:r>
        </w:sdtContent>
      </w:sdt>
      <w:r>
        <w:t>” (hereinafter – the Commission”.</w:t>
      </w:r>
    </w:p>
    <w:p w14:paraId="6BBB24D7" w14:textId="0F34B8DC" w:rsidR="00342351" w:rsidRPr="001D6CEF" w:rsidRDefault="00342351" w:rsidP="00D053AC">
      <w:pPr>
        <w:spacing w:before="120" w:after="120"/>
        <w:ind w:firstLine="720"/>
      </w:pPr>
      <w:r>
        <w:t xml:space="preserve">The Methodology has been developed for the international experts who carry out the scientific evaluation of the Project Proposals, the mid-term </w:t>
      </w:r>
      <w:sdt>
        <w:sdtPr>
          <w:id w:val="-111681809"/>
          <w:placeholder>
            <w:docPart w:val="DefaultPlaceholder_-1854013440"/>
          </w:placeholder>
        </w:sdtPr>
        <w:sdtContent>
          <w:r>
            <w:t>and final</w:t>
          </w:r>
        </w:sdtContent>
      </w:sdt>
      <w:r>
        <w:t xml:space="preserve"> scientific reports of the project.</w:t>
      </w:r>
    </w:p>
    <w:p w14:paraId="1CDD331F" w14:textId="21B2701B" w:rsidR="00D053AC" w:rsidRDefault="00B14940" w:rsidP="00D053AC">
      <w:pPr>
        <w:tabs>
          <w:tab w:val="left" w:pos="426"/>
        </w:tabs>
        <w:spacing w:before="120" w:after="120"/>
        <w:ind w:right="142"/>
      </w:pPr>
      <w:r>
        <w:tab/>
        <w:t>According to Section 35, Paragraph one of the Law on Scientific Activity, State research programmes are State commissions for the performance of scientific research in a specific economic, educational, cultural, or other sector of priority to the State with the purpose of promoting the development of such sector.</w:t>
      </w:r>
    </w:p>
    <w:sdt>
      <w:sdtPr>
        <w:rPr>
          <w:rFonts w:eastAsia="Calibri"/>
          <w:i/>
          <w:iCs/>
          <w:shd w:val="clear" w:color="auto" w:fill="FFFFFF"/>
        </w:rPr>
        <w:id w:val="906582255"/>
        <w:placeholder>
          <w:docPart w:val="08BBB927DD494D5BA478064A10E458C0"/>
        </w:placeholder>
      </w:sdtPr>
      <w:sdtEndPr>
        <w:rPr>
          <w:rFonts w:eastAsia="Times New Roman"/>
          <w:i w:val="0"/>
          <w:iCs w:val="0"/>
          <w:shd w:val="clear" w:color="auto" w:fill="auto"/>
        </w:rPr>
      </w:sdtEndPr>
      <w:sdtContent>
        <w:p w14:paraId="5AC00208" w14:textId="77777777" w:rsidR="00D053AC" w:rsidRDefault="005C4C90" w:rsidP="00D053AC">
          <w:pPr>
            <w:spacing w:before="120" w:after="120"/>
            <w:ind w:firstLine="720"/>
            <w:rPr>
              <w:rFonts w:eastAsia="Calibri"/>
            </w:rPr>
          </w:pPr>
          <w:r>
            <w:t>The target audience of the methodology includes project applicants (hereinafter – project applicant) for the State Research Programme “</w:t>
          </w:r>
          <w:sdt>
            <w:sdtPr>
              <w:rPr>
                <w:rFonts w:eastAsia="Calibri"/>
              </w:rPr>
              <w:id w:val="1158731996"/>
              <w:placeholder>
                <w:docPart w:val="66EA4A0BE54B461BA3EF51B168849BEE"/>
              </w:placeholder>
            </w:sdtPr>
            <w:sdtContent>
              <w:r>
                <w:t>Agricultural and forest resources research for a secure and resilient Latvia</w:t>
              </w:r>
            </w:sdtContent>
          </w:sdt>
          <w:r>
            <w:t>” 2026-2028 (hereinafter – the Programme) open call (hereinafter – the Tender), who draft project applications and the necessary documentation for submission within the framework of the Open Call.</w:t>
          </w:r>
        </w:p>
        <w:p w14:paraId="263060B9" w14:textId="77777777" w:rsidR="00D053AC" w:rsidRDefault="005C4C90" w:rsidP="00D053AC">
          <w:pPr>
            <w:spacing w:before="120" w:after="120"/>
            <w:ind w:firstLine="720"/>
            <w:rPr>
              <w:rFonts w:eastAsia="Calibri"/>
            </w:rPr>
          </w:pPr>
          <w:r>
            <w:lastRenderedPageBreak/>
            <w:t>As a State commission, the Programme serves as a policy implementation mechanism that identifies and researches matters of importance for the sustainability and development of Latvia, which need to be the focus of the work of Latvian scientific institutions, and defines relevant scientific research tasks to address them. In view of the above, the Programme creates favourable conditions for achieving sustainable development goals of Latvia.</w:t>
          </w:r>
        </w:p>
        <w:p w14:paraId="5B57E1C4" w14:textId="4CF32071" w:rsidR="005C4C90" w:rsidRPr="00D053AC" w:rsidRDefault="005C4C90" w:rsidP="00D053AC">
          <w:pPr>
            <w:spacing w:before="120" w:after="120"/>
            <w:ind w:firstLine="720"/>
            <w:rPr>
              <w:rFonts w:eastAsia="Calibri"/>
            </w:rPr>
          </w:pPr>
          <w:r>
            <w:t xml:space="preserve">The Programme will involve a core group of researchers from the fields of </w:t>
          </w:r>
          <w:bookmarkStart w:id="2" w:name="_Hlk218680310"/>
          <w:r>
            <w:t>agriculture and/or forestry, and/or food industry, and/or economy and ecology, and/or climate change, and/or veterinary sciences</w:t>
          </w:r>
          <w:bookmarkEnd w:id="2"/>
          <w:r>
            <w:t xml:space="preserve"> to collaborate on the project objective.</w:t>
          </w:r>
        </w:p>
        <w:p w14:paraId="7633D340" w14:textId="6ECDD850" w:rsidR="00C71BE8" w:rsidRPr="004A69DE" w:rsidRDefault="005C4C90" w:rsidP="005C53AA">
          <w:pPr>
            <w:rPr>
              <w:highlight w:val="yellow"/>
              <w:shd w:val="clear" w:color="auto" w:fill="FFFFFF"/>
            </w:rPr>
          </w:pPr>
          <w:r>
            <w:tab/>
            <w:t xml:space="preserve">The Programme was created and is funded by the Ministry of Education and Science (hereinafter – the Ministry). State budget funds in the total amount of </w:t>
          </w:r>
          <w:sdt>
            <w:sdtPr>
              <w:rPr>
                <w:b/>
                <w:shd w:val="clear" w:color="auto" w:fill="FFFFFF"/>
              </w:rPr>
              <w:id w:val="-1952926315"/>
              <w:placeholder>
                <w:docPart w:val="75757FD6DBCC4DFDBA1DC67094D5DBC4"/>
              </w:placeholder>
            </w:sdtPr>
            <w:sdtEndPr>
              <w:rPr>
                <w:shd w:val="clear" w:color="auto" w:fill="auto"/>
              </w:rPr>
            </w:sdtEndPr>
            <w:sdtContent>
              <w:r>
                <w:rPr>
                  <w:rFonts w:asciiTheme="majorBidi" w:hAnsiTheme="majorBidi"/>
                  <w:b/>
                </w:rPr>
                <w:t>EUR 6,000,000.00</w:t>
              </w:r>
              <w:r>
                <w:rPr>
                  <w:b/>
                  <w:sz w:val="20"/>
                </w:rPr>
                <w:t> </w:t>
              </w:r>
            </w:sdtContent>
          </w:sdt>
          <w:r>
            <w:rPr>
              <w:rFonts w:asciiTheme="majorBidi" w:hAnsiTheme="majorBidi"/>
            </w:rPr>
            <w:t xml:space="preserve"> (six million euro, 00 cents) </w:t>
          </w:r>
          <w:r>
            <w:rPr>
              <w:rFonts w:asciiTheme="majorBidi" w:hAnsiTheme="majorBidi"/>
              <w:shd w:val="clear" w:color="auto" w:fill="FFFFFF"/>
            </w:rPr>
            <w:t>have been granted for the implementation of the Programme and the implementation period lasts from 2026 to 2028</w:t>
          </w:r>
          <w:r>
            <w:rPr>
              <w:rFonts w:asciiTheme="majorBidi" w:hAnsiTheme="majorBidi"/>
            </w:rPr>
            <w:t>.</w:t>
          </w:r>
          <w:r>
            <w:t xml:space="preserve"> The Open Call for Project Proposals is organised for the purpose of implementing the tasks of the Programme specified in Paragraph 5 of the Cabinet Order. </w:t>
          </w:r>
          <w:r>
            <w:rPr>
              <w:shd w:val="clear" w:color="auto" w:fill="FFFFFF"/>
            </w:rPr>
            <w:t>The Open Call for proposals will finance one project per task with project funding:</w:t>
          </w:r>
        </w:p>
        <w:p w14:paraId="597BC2E0" w14:textId="187CCD2C" w:rsidR="00C71BE8" w:rsidRPr="00C71BE8" w:rsidRDefault="00C71BE8" w:rsidP="00C71BE8">
          <w:pPr>
            <w:pStyle w:val="ListParagraph"/>
            <w:numPr>
              <w:ilvl w:val="0"/>
              <w:numId w:val="26"/>
            </w:numPr>
            <w:rPr>
              <w:i w:val="0"/>
              <w:color w:val="000000"/>
            </w:rPr>
          </w:pPr>
          <w:r>
            <w:rPr>
              <w:i w:val="0"/>
            </w:rPr>
            <w:t xml:space="preserve">Sub-paragraph 5.1 of the Cabinet Order: to strengthen Latvia's food self-sufficiency by developing a sustainable, </w:t>
          </w:r>
          <w:proofErr w:type="gramStart"/>
          <w:r>
            <w:rPr>
              <w:i w:val="0"/>
            </w:rPr>
            <w:t>competitive</w:t>
          </w:r>
          <w:proofErr w:type="gramEnd"/>
          <w:r>
            <w:rPr>
              <w:i w:val="0"/>
            </w:rPr>
            <w:t xml:space="preserve"> and crises-resilient food system based on environmentally-friendly technologies, innovative </w:t>
          </w:r>
          <w:proofErr w:type="gramStart"/>
          <w:r>
            <w:rPr>
              <w:i w:val="0"/>
            </w:rPr>
            <w:t>solutions</w:t>
          </w:r>
          <w:proofErr w:type="gramEnd"/>
          <w:r>
            <w:rPr>
              <w:i w:val="0"/>
            </w:rPr>
            <w:t xml:space="preserve"> and access to safe food</w:t>
          </w:r>
        </w:p>
        <w:p w14:paraId="7BEFF9F7" w14:textId="48B32541" w:rsidR="00C71BE8" w:rsidRPr="00C71BE8" w:rsidRDefault="00BA7C45" w:rsidP="001813CB">
          <w:pPr>
            <w:pStyle w:val="ListParagraph"/>
            <w:ind w:left="720"/>
            <w:rPr>
              <w:i w:val="0"/>
              <w:color w:val="000000"/>
            </w:rPr>
          </w:pPr>
          <w:r>
            <w:rPr>
              <w:i w:val="0"/>
              <w:color w:val="000000"/>
            </w:rPr>
            <w:t>EUR 2,980,000.00 (two million nine hundred and eighty thousand euro);</w:t>
          </w:r>
        </w:p>
        <w:p w14:paraId="1741A48E" w14:textId="21CECF8E" w:rsidR="00295C78" w:rsidRDefault="00C71BE8" w:rsidP="00295C78">
          <w:pPr>
            <w:pStyle w:val="ListParagraph"/>
            <w:numPr>
              <w:ilvl w:val="0"/>
              <w:numId w:val="26"/>
            </w:numPr>
            <w:rPr>
              <w:i w:val="0"/>
              <w:color w:val="000000"/>
            </w:rPr>
          </w:pPr>
          <w:r>
            <w:rPr>
              <w:i w:val="0"/>
              <w:color w:val="000000"/>
            </w:rPr>
            <w:t>Sub-paragraph 5.2 of the Cabinet Order: to improve the long-term efficiency of the use of Latvia's forest resources, to promote the development of a bioeconomy based on them and competitive in the global market as a basis for the country's economic and energy security</w:t>
          </w:r>
        </w:p>
        <w:p w14:paraId="3670903D" w14:textId="4E5CDEE2" w:rsidR="005C4C90" w:rsidRPr="00295C78" w:rsidRDefault="00BA7C45" w:rsidP="00295C78">
          <w:pPr>
            <w:pStyle w:val="ListParagraph"/>
            <w:ind w:left="720"/>
            <w:rPr>
              <w:i w:val="0"/>
              <w:color w:val="000000"/>
            </w:rPr>
          </w:pPr>
          <w:r>
            <w:rPr>
              <w:i w:val="0"/>
              <w:color w:val="000000"/>
            </w:rPr>
            <w:t>EUR 2,600,000.00 (two million six hundred thousand euro).</w:t>
          </w:r>
        </w:p>
        <w:p w14:paraId="7FBEAB50" w14:textId="487EDBED" w:rsidR="00A442D5" w:rsidRPr="00EF64DF" w:rsidRDefault="005C4C90" w:rsidP="00D053AC">
          <w:pPr>
            <w:tabs>
              <w:tab w:val="left" w:pos="426"/>
            </w:tabs>
            <w:spacing w:before="120" w:after="120"/>
            <w:ind w:right="142"/>
          </w:pPr>
          <w:r>
            <w:tab/>
            <w:t xml:space="preserve">According to the Cabinet Order, the Programme aims to promote scientific research and sustainable use of Latvia's agricultural and forest resources </w:t>
          </w:r>
          <w:proofErr w:type="gramStart"/>
          <w:r>
            <w:t>in order to</w:t>
          </w:r>
          <w:proofErr w:type="gramEnd"/>
          <w:r>
            <w:t xml:space="preserve"> strengthen the country's food, economic and ecological security, as well as its resilience to climate change and external risk factors.</w:t>
          </w:r>
        </w:p>
        <w:p w14:paraId="55C4DFEF" w14:textId="5C9A1C82" w:rsidR="00C71BE8" w:rsidRDefault="00A442D5" w:rsidP="00C9311C">
          <w:pPr>
            <w:ind w:firstLine="720"/>
          </w:pPr>
          <w:r>
            <w:t xml:space="preserve">To achieve the objective of the Programme, sub-paragraphs of paragraph 5 of the Cabinet Order define the following research fields of the Programme tasks: </w:t>
          </w:r>
        </w:p>
        <w:p w14:paraId="56D88E01" w14:textId="13F6CBF2" w:rsidR="00271332" w:rsidRDefault="00C71BE8" w:rsidP="00C71BE8">
          <w:pPr>
            <w:ind w:firstLine="720"/>
            <w:rPr>
              <w:shd w:val="clear" w:color="auto" w:fill="FFFFFF"/>
            </w:rPr>
          </w:pPr>
          <w:r>
            <w:rPr>
              <w:shd w:val="clear" w:color="auto" w:fill="FFFFFF"/>
            </w:rPr>
            <w:t xml:space="preserve">1 to strengthen Latvia's food self-sufficiency by developing a sustainable, </w:t>
          </w:r>
          <w:proofErr w:type="gramStart"/>
          <w:r>
            <w:rPr>
              <w:shd w:val="clear" w:color="auto" w:fill="FFFFFF"/>
            </w:rPr>
            <w:t>competitive</w:t>
          </w:r>
          <w:proofErr w:type="gramEnd"/>
          <w:r>
            <w:rPr>
              <w:shd w:val="clear" w:color="auto" w:fill="FFFFFF"/>
            </w:rPr>
            <w:t xml:space="preserve"> and crises-resilient food system based on environmentally-friendly technologies, innovative </w:t>
          </w:r>
          <w:proofErr w:type="gramStart"/>
          <w:r>
            <w:rPr>
              <w:shd w:val="clear" w:color="auto" w:fill="FFFFFF"/>
            </w:rPr>
            <w:t>solutions</w:t>
          </w:r>
          <w:proofErr w:type="gramEnd"/>
          <w:r>
            <w:rPr>
              <w:shd w:val="clear" w:color="auto" w:fill="FFFFFF"/>
            </w:rPr>
            <w:t xml:space="preserve"> and access to safe food, including:</w:t>
          </w:r>
        </w:p>
        <w:p w14:paraId="3E1F0D23" w14:textId="1B81093D" w:rsidR="00271332" w:rsidRDefault="00271332" w:rsidP="00C71BE8">
          <w:pPr>
            <w:ind w:firstLine="720"/>
            <w:rPr>
              <w:shd w:val="clear" w:color="auto" w:fill="FFFFFF"/>
            </w:rPr>
          </w:pPr>
          <w:r>
            <w:rPr>
              <w:shd w:val="clear" w:color="auto" w:fill="FFFFFF"/>
            </w:rPr>
            <w:t>1.1 to develop sustainable and climate-resilient cultivation technologies for environmentally-friendly and economically viable arable and horticultural production, contribute to limiting the spread of chemical pollutants, including pesticide residues and natural plant toxins:</w:t>
          </w:r>
        </w:p>
        <w:p w14:paraId="1B7025F3" w14:textId="3444A11E" w:rsidR="00B103E3" w:rsidRPr="00B103E3" w:rsidRDefault="00B103E3" w:rsidP="00B103E3">
          <w:pPr>
            <w:pStyle w:val="NoSpacing"/>
            <w:ind w:firstLine="993"/>
            <w:rPr>
              <w:shd w:val="clear" w:color="auto" w:fill="FFFFFF"/>
            </w:rPr>
          </w:pPr>
          <w:r>
            <w:rPr>
              <w:shd w:val="clear" w:color="auto" w:fill="FFFFFF"/>
            </w:rPr>
            <w:t xml:space="preserve">1.1.1 to innovate wheat production technologies suitable for Latvian conditions </w:t>
          </w:r>
          <w:proofErr w:type="gramStart"/>
          <w:r>
            <w:rPr>
              <w:shd w:val="clear" w:color="auto" w:fill="FFFFFF"/>
            </w:rPr>
            <w:t>for the production of</w:t>
          </w:r>
          <w:proofErr w:type="gramEnd"/>
          <w:r>
            <w:rPr>
              <w:shd w:val="clear" w:color="auto" w:fill="FFFFFF"/>
            </w:rPr>
            <w:t xml:space="preserve"> quality food raw materials in legume</w:t>
          </w:r>
          <w:r>
            <w:rPr>
              <w:rFonts w:asciiTheme="majorBidi" w:hAnsiTheme="majorBidi"/>
            </w:rPr>
            <w:t>-</w:t>
          </w:r>
          <w:r>
            <w:rPr>
              <w:shd w:val="clear" w:color="auto" w:fill="FFFFFF"/>
            </w:rPr>
            <w:t>crop rotation systems;</w:t>
          </w:r>
        </w:p>
        <w:p w14:paraId="386C9400" w14:textId="47E5C58E" w:rsidR="00B103E3" w:rsidRPr="00B103E3" w:rsidRDefault="00B103E3" w:rsidP="00B103E3">
          <w:pPr>
            <w:pStyle w:val="NoSpacing"/>
            <w:ind w:firstLine="993"/>
            <w:rPr>
              <w:shd w:val="clear" w:color="auto" w:fill="FFFFFF"/>
            </w:rPr>
          </w:pPr>
          <w:r>
            <w:rPr>
              <w:shd w:val="clear" w:color="auto" w:fill="FFFFFF"/>
            </w:rPr>
            <w:t xml:space="preserve">1.1.2 to investigate the effectiveness of the technological elements of apple, blackcurrant, vegetable (brassica and legume) production </w:t>
          </w:r>
          <w:r>
            <w:rPr>
              <w:rFonts w:asciiTheme="majorBidi" w:hAnsiTheme="majorBidi"/>
            </w:rPr>
            <w:t>-</w:t>
          </w:r>
          <w:r>
            <w:rPr>
              <w:shd w:val="clear" w:color="auto" w:fill="FFFFFF"/>
            </w:rPr>
            <w:t xml:space="preserve"> mechanisation, alternative crop protection products, different cover </w:t>
          </w:r>
          <w:proofErr w:type="gramStart"/>
          <w:r>
            <w:rPr>
              <w:shd w:val="clear" w:color="auto" w:fill="FFFFFF"/>
            </w:rPr>
            <w:t>crops</w:t>
          </w:r>
          <w:proofErr w:type="gramEnd"/>
          <w:r>
            <w:rPr>
              <w:shd w:val="clear" w:color="auto" w:fill="FFFFFF"/>
            </w:rPr>
            <w:t xml:space="preserve"> and soil improvement;</w:t>
          </w:r>
        </w:p>
        <w:p w14:paraId="38768ABC" w14:textId="54D8A144" w:rsidR="00B103E3" w:rsidRPr="00B103E3" w:rsidRDefault="00B103E3" w:rsidP="00B103E3">
          <w:pPr>
            <w:pStyle w:val="NoSpacing"/>
            <w:ind w:firstLine="993"/>
            <w:rPr>
              <w:shd w:val="clear" w:color="auto" w:fill="FFFFFF"/>
            </w:rPr>
          </w:pPr>
          <w:r>
            <w:rPr>
              <w:shd w:val="clear" w:color="auto" w:fill="FFFFFF"/>
            </w:rPr>
            <w:t>1.1.3 to investigate the aggressiveness of pathogens and disease epidemiology of potentially devastating fungal diseases</w:t>
          </w:r>
          <w:r>
            <w:rPr>
              <w:i/>
              <w:shd w:val="clear" w:color="auto" w:fill="FFFFFF"/>
            </w:rPr>
            <w:t xml:space="preserve"> Vicia, Glycine, Lupinus </w:t>
          </w:r>
          <w:r>
            <w:rPr>
              <w:shd w:val="clear" w:color="auto" w:fill="FFFFFF"/>
            </w:rPr>
            <w:t xml:space="preserve">in legumes (scald and spotting), </w:t>
          </w:r>
          <w:proofErr w:type="gramStart"/>
          <w:r>
            <w:rPr>
              <w:shd w:val="clear" w:color="auto" w:fill="FFFFFF"/>
            </w:rPr>
            <w:t>buckthorn</w:t>
          </w:r>
          <w:proofErr w:type="gramEnd"/>
          <w:r>
            <w:rPr>
              <w:shd w:val="clear" w:color="auto" w:fill="FFFFFF"/>
            </w:rPr>
            <w:t xml:space="preserve"> and blackcurrants (general wilt and shoot dieback) and develop diagnostic methods to reduce the risk of spread;</w:t>
          </w:r>
        </w:p>
        <w:p w14:paraId="36B513C2" w14:textId="15AF8EE3" w:rsidR="00B103E3" w:rsidRPr="00B103E3" w:rsidRDefault="00B103E3" w:rsidP="00B103E3">
          <w:pPr>
            <w:pStyle w:val="NoSpacing"/>
            <w:ind w:firstLine="993"/>
            <w:rPr>
              <w:shd w:val="clear" w:color="auto" w:fill="FFFFFF"/>
            </w:rPr>
          </w:pPr>
          <w:r>
            <w:rPr>
              <w:shd w:val="clear" w:color="auto" w:fill="FFFFFF"/>
            </w:rPr>
            <w:t>1.1.4 to assess the combined effects of climate change, pesticide and fertiliser use on the biosynthesis, accumulation and persistence of natural plant toxins and mycotoxins in cereals. To develop and adapt a 2D-LC-HRMS method for the simultaneous determination of pesticide residues and mycotoxins in grain samples with the aim to determine the concentration of toxins and pesticide residues, to study their correlation with climatic parameters and soil chemistry. To develop proposals to reduce the risk of toxin formation (mycotoxins and plant toxins) in cereals;</w:t>
          </w:r>
        </w:p>
        <w:p w14:paraId="58057C11" w14:textId="3C9D5658" w:rsidR="00271332" w:rsidRDefault="00271332" w:rsidP="00C71BE8">
          <w:pPr>
            <w:ind w:firstLine="720"/>
            <w:rPr>
              <w:shd w:val="clear" w:color="auto" w:fill="FFFFFF"/>
            </w:rPr>
          </w:pPr>
          <w:r>
            <w:rPr>
              <w:shd w:val="clear" w:color="auto" w:fill="FFFFFF"/>
            </w:rPr>
            <w:lastRenderedPageBreak/>
            <w:t>1.2 to develop new food products based on local agricultural raw materials, including fruit, vegetables and legumes, and raw materials from the fisheries sector, and new food products with high added value:</w:t>
          </w:r>
        </w:p>
        <w:p w14:paraId="4F1B5FDB" w14:textId="4A785A0B" w:rsidR="00B103E3" w:rsidRPr="00B103E3" w:rsidRDefault="00B103E3" w:rsidP="00B103E3">
          <w:pPr>
            <w:pStyle w:val="NoSpacing"/>
            <w:ind w:firstLine="993"/>
            <w:rPr>
              <w:shd w:val="clear" w:color="auto" w:fill="FFFFFF"/>
            </w:rPr>
          </w:pPr>
          <w:r>
            <w:rPr>
              <w:shd w:val="clear" w:color="auto" w:fill="FFFFFF"/>
            </w:rPr>
            <w:t xml:space="preserve">1.2.1 to develop requirements and criteria for new food products based on market demand, import substitution potential, availability of local raw materials, </w:t>
          </w:r>
          <w:proofErr w:type="gramStart"/>
          <w:r>
            <w:rPr>
              <w:shd w:val="clear" w:color="auto" w:fill="FFFFFF"/>
            </w:rPr>
            <w:t>competitiveness</w:t>
          </w:r>
          <w:proofErr w:type="gramEnd"/>
          <w:r>
            <w:rPr>
              <w:shd w:val="clear" w:color="auto" w:fill="FFFFFF"/>
            </w:rPr>
            <w:t xml:space="preserve"> and involvement of local producers;</w:t>
          </w:r>
        </w:p>
        <w:p w14:paraId="68393105" w14:textId="06234339" w:rsidR="00B103E3" w:rsidRPr="00B103E3" w:rsidRDefault="00B103E3" w:rsidP="00B103E3">
          <w:pPr>
            <w:pStyle w:val="NoSpacing"/>
            <w:ind w:firstLine="993"/>
            <w:rPr>
              <w:shd w:val="clear" w:color="auto" w:fill="FFFFFF"/>
            </w:rPr>
          </w:pPr>
          <w:r>
            <w:rPr>
              <w:shd w:val="clear" w:color="auto" w:fill="FFFFFF"/>
            </w:rPr>
            <w:t>1.2.2 to develop prototypes of priority products and carry out an economic, investment and production implementation assessment to determine their real market and export viability;</w:t>
          </w:r>
        </w:p>
        <w:p w14:paraId="0AB3E94B" w14:textId="77777777" w:rsidR="00B103E3" w:rsidRDefault="00271332" w:rsidP="00C71BE8">
          <w:pPr>
            <w:ind w:firstLine="720"/>
            <w:rPr>
              <w:shd w:val="clear" w:color="auto" w:fill="FFFFFF"/>
            </w:rPr>
          </w:pPr>
          <w:r>
            <w:rPr>
              <w:shd w:val="clear" w:color="auto" w:fill="FFFFFF"/>
            </w:rPr>
            <w:t>1.3 to strengthen Latvia's ability to ensure an adequate supply of safe and healthy food by preventing or limiting the spread of infections and antimicrobial resistance in animals and the food chain in times of crisis, thereby increasing the resilience of society and the food system:</w:t>
          </w:r>
        </w:p>
        <w:p w14:paraId="33099007" w14:textId="55B1766B" w:rsidR="00B103E3" w:rsidRPr="00B103E3" w:rsidRDefault="00B103E3" w:rsidP="00B103E3">
          <w:pPr>
            <w:pStyle w:val="NoSpacing"/>
            <w:ind w:firstLine="993"/>
            <w:rPr>
              <w:shd w:val="clear" w:color="auto" w:fill="FFFFFF"/>
            </w:rPr>
          </w:pPr>
          <w:r>
            <w:rPr>
              <w:shd w:val="clear" w:color="auto" w:fill="FFFFFF"/>
            </w:rPr>
            <w:t>1.3.1 to find solutions to reduce the spread of zoonotic agents (</w:t>
          </w:r>
          <w:r>
            <w:rPr>
              <w:i/>
              <w:shd w:val="clear" w:color="auto" w:fill="FFFFFF"/>
            </w:rPr>
            <w:t>Salmonella spp</w:t>
          </w:r>
          <w:r>
            <w:rPr>
              <w:shd w:val="clear" w:color="auto" w:fill="FFFFFF"/>
            </w:rPr>
            <w:t>.) and antimicrobial resistance (AMR) in the poultry sector, promoting the "one health" principle and ensuring a high quality, safe and sustainable food chain:</w:t>
          </w:r>
        </w:p>
        <w:p w14:paraId="10E735B6" w14:textId="77777777" w:rsidR="00B103E3" w:rsidRPr="00B103E3" w:rsidRDefault="00B103E3" w:rsidP="00B103E3">
          <w:pPr>
            <w:pStyle w:val="NoSpacing"/>
            <w:ind w:firstLine="993"/>
            <w:rPr>
              <w:shd w:val="clear" w:color="auto" w:fill="FFFFFF"/>
            </w:rPr>
          </w:pPr>
          <w:r>
            <w:rPr>
              <w:shd w:val="clear" w:color="auto" w:fill="FFFFFF"/>
            </w:rPr>
            <w:t>a) to analyse and study the evolution of AMR in relation to the use of antimicrobials in poultry production;</w:t>
          </w:r>
        </w:p>
        <w:p w14:paraId="11044071" w14:textId="77777777" w:rsidR="00B103E3" w:rsidRPr="00B103E3" w:rsidRDefault="00B103E3" w:rsidP="00B103E3">
          <w:pPr>
            <w:pStyle w:val="NoSpacing"/>
            <w:ind w:firstLine="993"/>
            <w:rPr>
              <w:shd w:val="clear" w:color="auto" w:fill="FFFFFF"/>
            </w:rPr>
          </w:pPr>
          <w:r>
            <w:rPr>
              <w:shd w:val="clear" w:color="auto" w:fill="FFFFFF"/>
            </w:rPr>
            <w:t xml:space="preserve">b) to investigate and compare the prevalence of </w:t>
          </w:r>
          <w:r>
            <w:rPr>
              <w:i/>
              <w:shd w:val="clear" w:color="auto" w:fill="FFFFFF"/>
            </w:rPr>
            <w:t xml:space="preserve">Salmonella </w:t>
          </w:r>
          <w:proofErr w:type="spellStart"/>
          <w:r>
            <w:rPr>
              <w:i/>
              <w:shd w:val="clear" w:color="auto" w:fill="FFFFFF"/>
            </w:rPr>
            <w:t>spp</w:t>
          </w:r>
          <w:proofErr w:type="spellEnd"/>
          <w:r>
            <w:rPr>
              <w:i/>
              <w:shd w:val="clear" w:color="auto" w:fill="FFFFFF"/>
            </w:rPr>
            <w:t xml:space="preserve"> </w:t>
          </w:r>
          <w:r>
            <w:rPr>
              <w:shd w:val="clear" w:color="auto" w:fill="FFFFFF"/>
            </w:rPr>
            <w:t>in different avian species (</w:t>
          </w:r>
          <w:r>
            <w:rPr>
              <w:i/>
              <w:shd w:val="clear" w:color="auto" w:fill="FFFFFF"/>
            </w:rPr>
            <w:t xml:space="preserve">Gallus </w:t>
          </w:r>
          <w:proofErr w:type="spellStart"/>
          <w:r>
            <w:rPr>
              <w:i/>
              <w:shd w:val="clear" w:color="auto" w:fill="FFFFFF"/>
            </w:rPr>
            <w:t>gallus</w:t>
          </w:r>
          <w:proofErr w:type="spellEnd"/>
          <w:r>
            <w:rPr>
              <w:shd w:val="clear" w:color="auto" w:fill="FFFFFF"/>
            </w:rPr>
            <w:t xml:space="preserve">, quails, turkeys, waterfowl), phenotypic and genotypic antimicrobial resistance of the agents; </w:t>
          </w:r>
        </w:p>
        <w:p w14:paraId="6B28E0CD" w14:textId="77777777" w:rsidR="00B103E3" w:rsidRPr="00B103E3" w:rsidRDefault="00B103E3" w:rsidP="00B103E3">
          <w:pPr>
            <w:pStyle w:val="NoSpacing"/>
            <w:ind w:firstLine="993"/>
            <w:rPr>
              <w:shd w:val="clear" w:color="auto" w:fill="FFFFFF"/>
            </w:rPr>
          </w:pPr>
          <w:r>
            <w:rPr>
              <w:shd w:val="clear" w:color="auto" w:fill="FFFFFF"/>
            </w:rPr>
            <w:t xml:space="preserve">c) to investigate the distribution of </w:t>
          </w:r>
          <w:r>
            <w:rPr>
              <w:i/>
              <w:shd w:val="clear" w:color="auto" w:fill="FFFFFF"/>
            </w:rPr>
            <w:t>Salmonella</w:t>
          </w:r>
          <w:r>
            <w:rPr>
              <w:shd w:val="clear" w:color="auto" w:fill="FFFFFF"/>
            </w:rPr>
            <w:t xml:space="preserve"> serotypes in poultry production – edible eggs, meat, products of different origin (imported or Latvian), to compare their antimicrobial resistance properties;</w:t>
          </w:r>
        </w:p>
        <w:p w14:paraId="1A4509B1" w14:textId="77777777" w:rsidR="00B103E3" w:rsidRPr="00B103E3" w:rsidRDefault="00B103E3" w:rsidP="00B103E3">
          <w:pPr>
            <w:pStyle w:val="NoSpacing"/>
            <w:ind w:firstLine="993"/>
            <w:rPr>
              <w:shd w:val="clear" w:color="auto" w:fill="FFFFFF"/>
            </w:rPr>
          </w:pPr>
          <w:r>
            <w:rPr>
              <w:shd w:val="clear" w:color="auto" w:fill="FFFFFF"/>
            </w:rPr>
            <w:t xml:space="preserve">d) to develop recommendations for the reduction of </w:t>
          </w:r>
          <w:r>
            <w:rPr>
              <w:i/>
              <w:shd w:val="clear" w:color="auto" w:fill="FFFFFF"/>
            </w:rPr>
            <w:t>Salmonella spp.</w:t>
          </w:r>
          <w:r>
            <w:rPr>
              <w:shd w:val="clear" w:color="auto" w:fill="FFFFFF"/>
            </w:rPr>
            <w:t xml:space="preserve"> in poultry farming, </w:t>
          </w:r>
          <w:proofErr w:type="gramStart"/>
          <w:r>
            <w:rPr>
              <w:shd w:val="clear" w:color="auto" w:fill="FFFFFF"/>
            </w:rPr>
            <w:t>taking into account</w:t>
          </w:r>
          <w:proofErr w:type="gramEnd"/>
          <w:r>
            <w:rPr>
              <w:shd w:val="clear" w:color="auto" w:fill="FFFFFF"/>
            </w:rPr>
            <w:t xml:space="preserve"> the species, </w:t>
          </w:r>
          <w:proofErr w:type="gramStart"/>
          <w:r>
            <w:rPr>
              <w:shd w:val="clear" w:color="auto" w:fill="FFFFFF"/>
            </w:rPr>
            <w:t>categories</w:t>
          </w:r>
          <w:proofErr w:type="gramEnd"/>
          <w:r>
            <w:rPr>
              <w:shd w:val="clear" w:color="auto" w:fill="FFFFFF"/>
            </w:rPr>
            <w:t xml:space="preserve"> and housing of the birds;</w:t>
          </w:r>
        </w:p>
        <w:p w14:paraId="65919075" w14:textId="1418C356" w:rsidR="00B103E3" w:rsidRPr="00B103E3" w:rsidRDefault="00B103E3" w:rsidP="00B103E3">
          <w:pPr>
            <w:pStyle w:val="NoSpacing"/>
            <w:ind w:firstLine="993"/>
            <w:rPr>
              <w:shd w:val="clear" w:color="auto" w:fill="FFFFFF"/>
            </w:rPr>
          </w:pPr>
          <w:r>
            <w:rPr>
              <w:shd w:val="clear" w:color="auto" w:fill="FFFFFF"/>
            </w:rPr>
            <w:t>1.3.2 to analyse the relationship between the development of antibiotic resistance and the medication practices of veterinarians and farm owners in the poultry sector by evaluating bacterial indicators of the avian intestinal tract using phenotypic and molecular identification methods:</w:t>
          </w:r>
        </w:p>
        <w:p w14:paraId="1C5FCB72" w14:textId="77777777" w:rsidR="00B103E3" w:rsidRPr="00B103E3" w:rsidRDefault="00B103E3" w:rsidP="00B103E3">
          <w:pPr>
            <w:pStyle w:val="NoSpacing"/>
            <w:ind w:firstLine="993"/>
            <w:rPr>
              <w:shd w:val="clear" w:color="auto" w:fill="FFFFFF"/>
            </w:rPr>
          </w:pPr>
          <w:r>
            <w:rPr>
              <w:shd w:val="clear" w:color="auto" w:fill="FFFFFF"/>
            </w:rPr>
            <w:t>a) to gather the approaches, opinions and prescribing practices of veterinarians and owners working in the poultry sector to identify rationales for use and knowledge gaps;</w:t>
          </w:r>
        </w:p>
        <w:p w14:paraId="220CA052" w14:textId="77777777" w:rsidR="00B103E3" w:rsidRPr="00B103E3" w:rsidRDefault="00B103E3" w:rsidP="00B103E3">
          <w:pPr>
            <w:pStyle w:val="NoSpacing"/>
            <w:ind w:firstLine="993"/>
            <w:rPr>
              <w:shd w:val="clear" w:color="auto" w:fill="FFFFFF"/>
            </w:rPr>
          </w:pPr>
          <w:r>
            <w:rPr>
              <w:shd w:val="clear" w:color="auto" w:fill="FFFFFF"/>
            </w:rPr>
            <w:t xml:space="preserve">b) to assess the relationship between antimicrobial use and the development of resistance (ESBL, colistin, </w:t>
          </w:r>
          <w:proofErr w:type="spellStart"/>
          <w:r>
            <w:rPr>
              <w:shd w:val="clear" w:color="auto" w:fill="FFFFFF"/>
            </w:rPr>
            <w:t>AmpC</w:t>
          </w:r>
          <w:proofErr w:type="spellEnd"/>
          <w:r>
            <w:rPr>
              <w:shd w:val="clear" w:color="auto" w:fill="FFFFFF"/>
            </w:rPr>
            <w:t>) in clinically healthy birds (broilers, laying hens, quails, ostriches, etc.) at flock level;</w:t>
          </w:r>
        </w:p>
        <w:p w14:paraId="596F1D57" w14:textId="77777777" w:rsidR="00B103E3" w:rsidRPr="00B103E3" w:rsidRDefault="00B103E3" w:rsidP="00B103E3">
          <w:pPr>
            <w:pStyle w:val="NoSpacing"/>
            <w:ind w:firstLine="993"/>
            <w:rPr>
              <w:shd w:val="clear" w:color="auto" w:fill="FFFFFF"/>
            </w:rPr>
          </w:pPr>
          <w:r>
            <w:rPr>
              <w:shd w:val="clear" w:color="auto" w:fill="FFFFFF"/>
            </w:rPr>
            <w:t xml:space="preserve">c) to conduct phylogenetic investigation of </w:t>
          </w:r>
          <w:r>
            <w:rPr>
              <w:i/>
              <w:shd w:val="clear" w:color="auto" w:fill="FFFFFF"/>
            </w:rPr>
            <w:t>E. coli</w:t>
          </w:r>
          <w:r>
            <w:rPr>
              <w:shd w:val="clear" w:color="auto" w:fill="FFFFFF"/>
            </w:rPr>
            <w:t xml:space="preserve"> circulating in the herds;</w:t>
          </w:r>
        </w:p>
        <w:p w14:paraId="16C56B40" w14:textId="77777777" w:rsidR="00B103E3" w:rsidRPr="00B103E3" w:rsidRDefault="00B103E3" w:rsidP="00B103E3">
          <w:pPr>
            <w:pStyle w:val="NoSpacing"/>
            <w:ind w:firstLine="993"/>
            <w:rPr>
              <w:shd w:val="clear" w:color="auto" w:fill="FFFFFF"/>
            </w:rPr>
          </w:pPr>
          <w:r>
            <w:rPr>
              <w:shd w:val="clear" w:color="auto" w:fill="FFFFFF"/>
            </w:rPr>
            <w:t>d) to develop recommendations for policy makers, as well as recommendations for practising veterinarians and farmers, to reduce the use of antibiotics and follow a "One Health" approach;</w:t>
          </w:r>
        </w:p>
        <w:p w14:paraId="1A8CF9AD" w14:textId="481B64FD" w:rsidR="00271332" w:rsidRDefault="00C71BE8" w:rsidP="00C71BE8">
          <w:pPr>
            <w:ind w:firstLine="720"/>
            <w:rPr>
              <w:shd w:val="clear" w:color="auto" w:fill="FFFFFF"/>
            </w:rPr>
          </w:pPr>
          <w:r>
            <w:rPr>
              <w:shd w:val="clear" w:color="auto" w:fill="FFFFFF"/>
            </w:rPr>
            <w:t xml:space="preserve"> 1.4 to comprehensively analyse the economic performance and competitiveness of Latvian agriculture </w:t>
          </w:r>
          <w:proofErr w:type="gramStart"/>
          <w:r>
            <w:rPr>
              <w:shd w:val="clear" w:color="auto" w:fill="FFFFFF"/>
            </w:rPr>
            <w:t>in order to</w:t>
          </w:r>
          <w:proofErr w:type="gramEnd"/>
          <w:r>
            <w:rPr>
              <w:shd w:val="clear" w:color="auto" w:fill="FFFFFF"/>
            </w:rPr>
            <w:t xml:space="preserve"> strengthen the self-sufficiency of the sector, and to develop proposals to improve competitiveness, increase output and strengthen resilience in the face of internal and external crises:</w:t>
          </w:r>
        </w:p>
        <w:p w14:paraId="62E15B4A" w14:textId="14C50E5B" w:rsidR="00B103E3" w:rsidRPr="00B103E3" w:rsidRDefault="00B103E3" w:rsidP="00B103E3">
          <w:pPr>
            <w:ind w:firstLine="993"/>
            <w:rPr>
              <w:shd w:val="clear" w:color="auto" w:fill="FFFFFF"/>
            </w:rPr>
          </w:pPr>
          <w:r>
            <w:rPr>
              <w:shd w:val="clear" w:color="auto" w:fill="FFFFFF"/>
            </w:rPr>
            <w:t xml:space="preserve">1.4.1 to analyse and map the economic performance and development trends of Latvian agriculture, </w:t>
          </w:r>
          <w:proofErr w:type="gramStart"/>
          <w:r>
            <w:rPr>
              <w:shd w:val="clear" w:color="auto" w:fill="FFFFFF"/>
            </w:rPr>
            <w:t>taking into account</w:t>
          </w:r>
          <w:proofErr w:type="gramEnd"/>
          <w:r>
            <w:rPr>
              <w:shd w:val="clear" w:color="auto" w:fill="FFFFFF"/>
            </w:rPr>
            <w:t xml:space="preserve"> farm size, sectoral structure, </w:t>
          </w:r>
          <w:proofErr w:type="gramStart"/>
          <w:r>
            <w:rPr>
              <w:shd w:val="clear" w:color="auto" w:fill="FFFFFF"/>
            </w:rPr>
            <w:t>specialisation</w:t>
          </w:r>
          <w:proofErr w:type="gramEnd"/>
          <w:r>
            <w:rPr>
              <w:shd w:val="clear" w:color="auto" w:fill="FFFFFF"/>
            </w:rPr>
            <w:t xml:space="preserve"> and spatial distribution, as well as the extent of farm involvement (full-time or part-time farming). Subsectors to be analysed: cereals, dairy farming, beef cattle farming, pig farming, poultry meat production, egg production, </w:t>
          </w:r>
          <w:proofErr w:type="gramStart"/>
          <w:r>
            <w:rPr>
              <w:shd w:val="clear" w:color="auto" w:fill="FFFFFF"/>
            </w:rPr>
            <w:t>fruit</w:t>
          </w:r>
          <w:proofErr w:type="gramEnd"/>
          <w:r>
            <w:rPr>
              <w:shd w:val="clear" w:color="auto" w:fill="FFFFFF"/>
            </w:rPr>
            <w:t xml:space="preserve"> and vegetable farming;</w:t>
          </w:r>
        </w:p>
        <w:p w14:paraId="7A78051D" w14:textId="66C48795" w:rsidR="00B103E3" w:rsidRPr="00B103E3" w:rsidRDefault="00B103E3" w:rsidP="00B103E3">
          <w:pPr>
            <w:ind w:firstLine="993"/>
            <w:rPr>
              <w:shd w:val="clear" w:color="auto" w:fill="FFFFFF"/>
            </w:rPr>
          </w:pPr>
          <w:r>
            <w:rPr>
              <w:shd w:val="clear" w:color="auto" w:fill="FFFFFF"/>
            </w:rPr>
            <w:t>1.4.2 to assess the ability of farms to collect, store and analyse production, financial and economic performance indicators for decision-making, identifying levels of data literacy in different agricultural subsectors and their impact on competitiveness. To assess the impact of digitalisation on competitiveness by analysing the level of modernisation of farms and their ability to adapt to the demands and opportunities of digital development;</w:t>
          </w:r>
        </w:p>
        <w:p w14:paraId="69692491" w14:textId="1C9246C2" w:rsidR="00B103E3" w:rsidRPr="00B103E3" w:rsidRDefault="00B103E3" w:rsidP="00B103E3">
          <w:pPr>
            <w:ind w:firstLine="993"/>
            <w:rPr>
              <w:shd w:val="clear" w:color="auto" w:fill="FFFFFF"/>
            </w:rPr>
          </w:pPr>
          <w:r>
            <w:rPr>
              <w:shd w:val="clear" w:color="auto" w:fill="FFFFFF"/>
            </w:rPr>
            <w:t xml:space="preserve">1.4.3 to assess the competitiveness of agricultural subsectors in the national and international (Organisation for Economic Co-operation and Development or OECD Member States) context, to identify internal and external factors limiting competitiveness, including structural, market and institutional challenges, as well as barriers to competitiveness and production growth. To assess the development of farm and sectoral market incomes, including the causes of low market incomes. The </w:t>
          </w:r>
          <w:r>
            <w:rPr>
              <w:shd w:val="clear" w:color="auto" w:fill="FFFFFF"/>
            </w:rPr>
            <w:lastRenderedPageBreak/>
            <w:t xml:space="preserve">analysis should </w:t>
          </w:r>
          <w:proofErr w:type="gramStart"/>
          <w:r>
            <w:rPr>
              <w:shd w:val="clear" w:color="auto" w:fill="FFFFFF"/>
            </w:rPr>
            <w:t>take into account</w:t>
          </w:r>
          <w:proofErr w:type="gramEnd"/>
          <w:r>
            <w:rPr>
              <w:shd w:val="clear" w:color="auto" w:fill="FFFFFF"/>
            </w:rPr>
            <w:t xml:space="preserve"> natural constraints, </w:t>
          </w:r>
          <w:proofErr w:type="gramStart"/>
          <w:r>
            <w:rPr>
              <w:shd w:val="clear" w:color="auto" w:fill="FFFFFF"/>
            </w:rPr>
            <w:t>territorial</w:t>
          </w:r>
          <w:proofErr w:type="gramEnd"/>
          <w:r>
            <w:rPr>
              <w:shd w:val="clear" w:color="auto" w:fill="FFFFFF"/>
            </w:rPr>
            <w:t xml:space="preserve"> and climatic conditions, as well as alternative farming and income diversification opportunities. To conduct a sub-sectoral SWOT assessment;</w:t>
          </w:r>
        </w:p>
        <w:p w14:paraId="01ACB269" w14:textId="32B13BF9" w:rsidR="00B103E3" w:rsidRPr="00B103E3" w:rsidRDefault="00B103E3" w:rsidP="00B103E3">
          <w:pPr>
            <w:pStyle w:val="NoSpacing"/>
            <w:ind w:firstLine="993"/>
            <w:rPr>
              <w:shd w:val="clear" w:color="auto" w:fill="FFFFFF"/>
            </w:rPr>
          </w:pPr>
          <w:r>
            <w:rPr>
              <w:shd w:val="clear" w:color="auto" w:fill="FFFFFF"/>
            </w:rPr>
            <w:t>1.4.4 to assess the resilience of Latvia's agricultural and food system, identifying the key factors that strengthen or threaten it. To analyse the impact of supply chain disruptions, geopolitical processes, import dependency and other potential external shocks on system functioning. To compare the Latvian situation with the experience of other EU Member States in ensuring food system resilience, to identify examples of the best practice and to assess the possibilities of its adaptation and transfer to the Latvian context;</w:t>
          </w:r>
        </w:p>
        <w:p w14:paraId="5945108D" w14:textId="54567B79" w:rsidR="00B103E3" w:rsidRPr="00B103E3" w:rsidRDefault="00B103E3" w:rsidP="00B103E3">
          <w:pPr>
            <w:pStyle w:val="NoSpacing"/>
            <w:ind w:firstLine="993"/>
            <w:rPr>
              <w:shd w:val="clear" w:color="auto" w:fill="FFFFFF"/>
            </w:rPr>
          </w:pPr>
          <w:r>
            <w:rPr>
              <w:shd w:val="clear" w:color="auto" w:fill="FFFFFF"/>
            </w:rPr>
            <w:t>1.4.5 to develop proposals to improve the competitiveness of Latvia's agricultural sectors and strengthen the resilience of the system. To provide recommendations and identify courses of action for policy makers and stakeholders in sectoral development to mitigate the negative impact of external and internal shocks and strengthen crisis management capacities;</w:t>
          </w:r>
        </w:p>
        <w:p w14:paraId="4998EA16" w14:textId="14CBBDC2" w:rsidR="00B103E3" w:rsidRPr="00B103E3" w:rsidRDefault="00B103E3" w:rsidP="00B103E3">
          <w:pPr>
            <w:pStyle w:val="NoSpacing"/>
            <w:ind w:firstLine="993"/>
            <w:rPr>
              <w:shd w:val="clear" w:color="auto" w:fill="FFFFFF"/>
            </w:rPr>
          </w:pPr>
          <w:r>
            <w:rPr>
              <w:shd w:val="clear" w:color="auto" w:fill="FFFFFF"/>
            </w:rPr>
            <w:t xml:space="preserve">1.4.6 to analyse the strategic framework resulting from various European Union policies and initiatives </w:t>
          </w:r>
          <w:proofErr w:type="gramStart"/>
          <w:r>
            <w:rPr>
              <w:shd w:val="clear" w:color="auto" w:fill="FFFFFF"/>
            </w:rPr>
            <w:t>in order to</w:t>
          </w:r>
          <w:proofErr w:type="gramEnd"/>
          <w:r>
            <w:rPr>
              <w:shd w:val="clear" w:color="auto" w:fill="FFFFFF"/>
            </w:rPr>
            <w:t xml:space="preserve"> review the Latvian Bioeconomy Strategy 2030. To compile and present strategic orientations for the development of the bioeconomy and measures to increase the value added of the bioeconomy, including research;</w:t>
          </w:r>
        </w:p>
        <w:p w14:paraId="2CD72207" w14:textId="6CE0F60E" w:rsidR="007B13BA" w:rsidRDefault="00C71BE8" w:rsidP="007B13BA">
          <w:pPr>
            <w:ind w:firstLine="720"/>
            <w:rPr>
              <w:shd w:val="clear" w:color="auto" w:fill="FFFFFF"/>
            </w:rPr>
          </w:pPr>
          <w:r>
            <w:rPr>
              <w:shd w:val="clear" w:color="auto" w:fill="FFFFFF"/>
            </w:rPr>
            <w:t xml:space="preserve">2 to improve the long-term efficiency of the use of Latvia's forest resources, to promote the development of a bioeconomy based on them and competitive in the global market as a basis for the country's economic and energy security, including: This task shall cover the following research fields: </w:t>
          </w:r>
        </w:p>
        <w:p w14:paraId="0C43A716" w14:textId="77777777" w:rsidR="00B103E3" w:rsidRDefault="00271332" w:rsidP="007B13BA">
          <w:pPr>
            <w:ind w:firstLine="720"/>
            <w:rPr>
              <w:shd w:val="clear" w:color="auto" w:fill="FFFFFF"/>
            </w:rPr>
          </w:pPr>
          <w:r>
            <w:rPr>
              <w:shd w:val="clear" w:color="auto" w:fill="FFFFFF"/>
            </w:rPr>
            <w:t>2.1 to promote the resilience of forest ecosystems – to develop options for forest owners to adapt tree stands for different management purposes, based on long-term evaluations of progeny test plantations and other long-term research sites:</w:t>
          </w:r>
        </w:p>
        <w:p w14:paraId="1A6DA3A7" w14:textId="03FB2CF6" w:rsidR="00B103E3" w:rsidRPr="00B103E3" w:rsidRDefault="00B103E3" w:rsidP="00B103E3">
          <w:pPr>
            <w:ind w:firstLine="993"/>
            <w:rPr>
              <w:shd w:val="clear" w:color="auto" w:fill="FFFFFF"/>
            </w:rPr>
          </w:pPr>
          <w:r>
            <w:rPr>
              <w:shd w:val="clear" w:color="auto" w:fill="FFFFFF"/>
            </w:rPr>
            <w:t xml:space="preserve">2.1.1 to develop recommendations for policies for adaptation of Latvia's commercial forests to climate change, based on the effective use of genetic variation within species in the context of the Forest Reproductive Material Regulation and the EU Forest Strategy; </w:t>
          </w:r>
        </w:p>
        <w:p w14:paraId="7B2BFB08" w14:textId="55F89768" w:rsidR="00B103E3" w:rsidRPr="00B103E3" w:rsidRDefault="00B103E3" w:rsidP="00B103E3">
          <w:pPr>
            <w:ind w:firstLine="993"/>
            <w:rPr>
              <w:shd w:val="clear" w:color="auto" w:fill="FFFFFF"/>
            </w:rPr>
          </w:pPr>
          <w:r>
            <w:rPr>
              <w:shd w:val="clear" w:color="auto" w:fill="FFFFFF"/>
            </w:rPr>
            <w:t xml:space="preserve">2.1.2 </w:t>
          </w:r>
          <w:proofErr w:type="gramStart"/>
          <w:r>
            <w:rPr>
              <w:shd w:val="clear" w:color="auto" w:fill="FFFFFF"/>
            </w:rPr>
            <w:t>on the basis of</w:t>
          </w:r>
          <w:proofErr w:type="gramEnd"/>
          <w:r>
            <w:rPr>
              <w:shd w:val="clear" w:color="auto" w:fill="FFFFFF"/>
            </w:rPr>
            <w:t xml:space="preserve"> empirical data appropriate to Latvian climatic conditions, to increase knowledge on mixed plantations, their role in increasing adaptation of economic forests to climate change, as well as mixes in forest landscape and </w:t>
          </w:r>
          <w:proofErr w:type="gramStart"/>
          <w:r>
            <w:rPr>
              <w:shd w:val="clear" w:color="auto" w:fill="FFFFFF"/>
            </w:rPr>
            <w:t>on the basis of</w:t>
          </w:r>
          <w:proofErr w:type="gramEnd"/>
          <w:r>
            <w:rPr>
              <w:shd w:val="clear" w:color="auto" w:fill="FFFFFF"/>
            </w:rPr>
            <w:t xml:space="preserve"> the information obtained to develop recommendations for changes in forest management practices and policies, to establish facilities for dissemination of this knowledge;</w:t>
          </w:r>
        </w:p>
        <w:p w14:paraId="1FFFCD1C" w14:textId="77777777" w:rsidR="00B103E3" w:rsidRDefault="00271332" w:rsidP="007B13BA">
          <w:pPr>
            <w:ind w:firstLine="709"/>
            <w:rPr>
              <w:shd w:val="clear" w:color="auto" w:fill="FFFFFF"/>
            </w:rPr>
          </w:pPr>
          <w:r>
            <w:rPr>
              <w:shd w:val="clear" w:color="auto" w:fill="FFFFFF"/>
            </w:rPr>
            <w:t>2.2 to assess the key factors for improving integrated and sustainable forest management practices and strengthening economic security and the development of methods for monitoring them, including indicators for forest biodiversity in the Nature Restoration Regulation, as well as to prepare recommendations for the practical implementation of dynamic nature conservation and the safe harbour principle;</w:t>
          </w:r>
        </w:p>
        <w:p w14:paraId="336C7D72" w14:textId="23E77F85" w:rsidR="00B103E3" w:rsidRPr="00B103E3" w:rsidRDefault="00B103E3" w:rsidP="00B103E3">
          <w:pPr>
            <w:ind w:firstLine="993"/>
            <w:rPr>
              <w:shd w:val="clear" w:color="auto" w:fill="FFFFFF"/>
            </w:rPr>
          </w:pPr>
          <w:r>
            <w:rPr>
              <w:shd w:val="clear" w:color="auto" w:fill="FFFFFF"/>
            </w:rPr>
            <w:t>2.2.1 to assess the compatibility of the principle of dynamic nature conservation with the EU Biodiversity Strategy and its accompanying documents, prepare recommendations for policies to implement this principle;</w:t>
          </w:r>
        </w:p>
        <w:p w14:paraId="641542D2" w14:textId="0313CFA9" w:rsidR="00B103E3" w:rsidRPr="00B103E3" w:rsidRDefault="00B103E3" w:rsidP="00B103E3">
          <w:pPr>
            <w:ind w:firstLine="993"/>
            <w:rPr>
              <w:shd w:val="clear" w:color="auto" w:fill="FFFFFF"/>
            </w:rPr>
          </w:pPr>
          <w:r>
            <w:rPr>
              <w:shd w:val="clear" w:color="auto" w:fill="FFFFFF"/>
            </w:rPr>
            <w:t>2.2.2 to assess the socio-economic impact of policies to implement the dynamic nature conservation principle and assess the motivation of forest owners to engage in their implementation, e.g., by ensuring the implementation of the safe harbour principle in practice;</w:t>
          </w:r>
        </w:p>
        <w:p w14:paraId="1EB16C46" w14:textId="2A123EAB" w:rsidR="00B103E3" w:rsidRPr="00B103E3" w:rsidRDefault="00B103E3" w:rsidP="00B103E3">
          <w:pPr>
            <w:ind w:firstLine="993"/>
            <w:rPr>
              <w:shd w:val="clear" w:color="auto" w:fill="FFFFFF"/>
            </w:rPr>
          </w:pPr>
          <w:r>
            <w:rPr>
              <w:shd w:val="clear" w:color="auto" w:fill="FFFFFF"/>
            </w:rPr>
            <w:t xml:space="preserve">2.2.3 to develop standardised, cost-effective solutions for forest management measures to improve habitat quality, in line with the principles of the Nature Restoration Regulation and nature-based forest management, and recommendations for action policies to implement them, including assessing the impacts associated with hydro-technical forest drainage; </w:t>
          </w:r>
        </w:p>
        <w:p w14:paraId="1793882F" w14:textId="18FAE969" w:rsidR="00B103E3" w:rsidRPr="00B103E3" w:rsidRDefault="00B103E3" w:rsidP="00B103E3">
          <w:pPr>
            <w:ind w:firstLine="993"/>
            <w:rPr>
              <w:shd w:val="clear" w:color="auto" w:fill="FFFFFF"/>
            </w:rPr>
          </w:pPr>
          <w:r>
            <w:rPr>
              <w:shd w:val="clear" w:color="auto" w:fill="FFFFFF"/>
            </w:rPr>
            <w:t>2.2.4 to evaluate the experience of other countries in the use of acoustic sensors for characterisation of forest bird populations, develop recommendations on the most suitable technical solution for Latvia, describe the statistical accuracy of the assessment depending on the number and design of sample plots; conduct a pilot study to characterise the impact of economic activities on forest birds;</w:t>
          </w:r>
        </w:p>
        <w:p w14:paraId="11DC22E2" w14:textId="6CD92FF7" w:rsidR="00B103E3" w:rsidRPr="00B103E3" w:rsidRDefault="00B103E3" w:rsidP="00B103E3">
          <w:pPr>
            <w:ind w:firstLine="993"/>
            <w:rPr>
              <w:shd w:val="clear" w:color="auto" w:fill="FFFFFF"/>
            </w:rPr>
          </w:pPr>
          <w:r>
            <w:rPr>
              <w:shd w:val="clear" w:color="auto" w:fill="FFFFFF"/>
            </w:rPr>
            <w:t xml:space="preserve">2.2.5 to develop and test innovative solutions to improve the National Forest Monitoring for more detailed information and wider use, including for the characterisation of biodiversity in </w:t>
          </w:r>
          <w:r>
            <w:rPr>
              <w:shd w:val="clear" w:color="auto" w:fill="FFFFFF"/>
            </w:rPr>
            <w:lastRenderedPageBreak/>
            <w:t>commercial forests and for more effective monitoring of other biodiversity elements needed for the country;</w:t>
          </w:r>
        </w:p>
        <w:p w14:paraId="4D33EEA3" w14:textId="595BD64A" w:rsidR="000866B6" w:rsidRDefault="00C71BE8" w:rsidP="007B13BA">
          <w:pPr>
            <w:ind w:firstLine="709"/>
            <w:rPr>
              <w:shd w:val="clear" w:color="auto" w:fill="FFFFFF"/>
            </w:rPr>
          </w:pPr>
          <w:r>
            <w:rPr>
              <w:shd w:val="clear" w:color="auto" w:fill="FFFFFF"/>
            </w:rPr>
            <w:t xml:space="preserve"> 2.3 to promote the contribution of the forest sector to climate change mitigation and circulation in the bio-economy, to determine the overall substitution effect provided by forest products and to promote the use of local forest resources </w:t>
          </w:r>
          <w:proofErr w:type="gramStart"/>
          <w:r>
            <w:rPr>
              <w:shd w:val="clear" w:color="auto" w:fill="FFFFFF"/>
            </w:rPr>
            <w:t>for the production of</w:t>
          </w:r>
          <w:proofErr w:type="gramEnd"/>
          <w:r>
            <w:rPr>
              <w:shd w:val="clear" w:color="auto" w:fill="FFFFFF"/>
            </w:rPr>
            <w:t xml:space="preserve"> competitive and sustainable products in line with the Green Deal:</w:t>
          </w:r>
        </w:p>
        <w:p w14:paraId="6E5B6AFB" w14:textId="282C68C8" w:rsidR="00B103E3" w:rsidRPr="00B103E3" w:rsidRDefault="00B103E3" w:rsidP="00B103E3">
          <w:pPr>
            <w:ind w:firstLine="993"/>
            <w:rPr>
              <w:shd w:val="clear" w:color="auto" w:fill="FFFFFF"/>
            </w:rPr>
          </w:pPr>
          <w:r>
            <w:rPr>
              <w:shd w:val="clear" w:color="auto" w:fill="FFFFFF"/>
            </w:rPr>
            <w:t>2.3.1 to assess the substitution effect provided by the Latvian forest sector in accordance with ISO 13391:2025 and prepare policies to increase the identified effects, as well as recommendations (positions, justifications) to promote international recognition of this effect;</w:t>
          </w:r>
        </w:p>
        <w:p w14:paraId="44240144" w14:textId="4ABC95A0" w:rsidR="00B103E3" w:rsidRPr="00B103E3" w:rsidRDefault="00B103E3" w:rsidP="00B103E3">
          <w:pPr>
            <w:ind w:firstLine="993"/>
            <w:rPr>
              <w:shd w:val="clear" w:color="auto" w:fill="FFFFFF"/>
            </w:rPr>
          </w:pPr>
          <w:r>
            <w:rPr>
              <w:shd w:val="clear" w:color="auto" w:fill="FFFFFF"/>
            </w:rPr>
            <w:t>2.3.2 to prepare innovative and integrated practical solutions for increasing the contribution of the Latvian forest sector to the bioeconomy and climate change mitigation through the development of forest management and new wood products, especially those that reduce energy consumption or whose raw materials are currently used mainly in the energy sector;</w:t>
          </w:r>
        </w:p>
        <w:p w14:paraId="34515EB4" w14:textId="3FC4F437" w:rsidR="00B103E3" w:rsidRPr="00B103E3" w:rsidRDefault="00B103E3" w:rsidP="00B103E3">
          <w:pPr>
            <w:ind w:firstLine="993"/>
            <w:rPr>
              <w:shd w:val="clear" w:color="auto" w:fill="FFFFFF"/>
            </w:rPr>
          </w:pPr>
          <w:r>
            <w:rPr>
              <w:shd w:val="clear" w:color="auto" w:fill="FFFFFF"/>
            </w:rPr>
            <w:t>2.3.3 to develop standardised solutions for forest management compliance with the requirements of the Taxonomy Regulation and a unified understanding, recommendations for compliance with RED III and Sustainable Biomass criteria;</w:t>
          </w:r>
        </w:p>
        <w:p w14:paraId="23540132" w14:textId="6EC75AA9" w:rsidR="00B103E3" w:rsidRPr="007B13BA" w:rsidRDefault="00B103E3" w:rsidP="00B103E3">
          <w:pPr>
            <w:ind w:firstLine="993"/>
            <w:rPr>
              <w:shd w:val="clear" w:color="auto" w:fill="FFFFFF"/>
            </w:rPr>
          </w:pPr>
          <w:r>
            <w:rPr>
              <w:shd w:val="clear" w:color="auto" w:fill="FFFFFF"/>
            </w:rPr>
            <w:t xml:space="preserve">2.3.4 to provide a pilot project on the use of the open science approach for the determination of greenhouse gas emissions in an area with organic soils where water levels are raised </w:t>
          </w:r>
          <w:proofErr w:type="gramStart"/>
          <w:r>
            <w:rPr>
              <w:shd w:val="clear" w:color="auto" w:fill="FFFFFF"/>
            </w:rPr>
            <w:t>by the use of</w:t>
          </w:r>
          <w:proofErr w:type="gramEnd"/>
          <w:r>
            <w:rPr>
              <w:shd w:val="clear" w:color="auto" w:fill="FFFFFF"/>
            </w:rPr>
            <w:t xml:space="preserve"> woody (</w:t>
          </w:r>
          <w:proofErr w:type="spellStart"/>
          <w:r>
            <w:rPr>
              <w:shd w:val="clear" w:color="auto" w:fill="FFFFFF"/>
            </w:rPr>
            <w:t>paludiculture</w:t>
          </w:r>
          <w:proofErr w:type="spellEnd"/>
          <w:r>
            <w:rPr>
              <w:shd w:val="clear" w:color="auto" w:fill="FFFFFF"/>
            </w:rPr>
            <w:t>) crops, where data are available on the installation of a drainage system and the long-term effects on soil and water levels;</w:t>
          </w:r>
        </w:p>
      </w:sdtContent>
    </w:sdt>
    <w:p w14:paraId="04DFE8E8" w14:textId="599785D1" w:rsidR="00A8649C" w:rsidRPr="006601B1" w:rsidRDefault="00EE5F77" w:rsidP="00D053AC">
      <w:pPr>
        <w:pStyle w:val="Heading1"/>
      </w:pPr>
      <w:bookmarkStart w:id="3" w:name="_Toc143245575"/>
      <w:r>
        <w:t>1 Terms Used</w:t>
      </w:r>
      <w:bookmarkEnd w:id="3"/>
    </w:p>
    <w:tbl>
      <w:tblPr>
        <w:tblStyle w:val="TableGrid"/>
        <w:tblW w:w="0" w:type="auto"/>
        <w:tblLook w:val="04A0" w:firstRow="1" w:lastRow="0" w:firstColumn="1" w:lastColumn="0" w:noHBand="0" w:noVBand="1"/>
      </w:tblPr>
      <w:tblGrid>
        <w:gridCol w:w="570"/>
        <w:gridCol w:w="1830"/>
        <w:gridCol w:w="7242"/>
      </w:tblGrid>
      <w:tr w:rsidR="004D61A7" w:rsidRPr="006601B1" w14:paraId="3A4B158B" w14:textId="77777777" w:rsidTr="00F862FF">
        <w:tc>
          <w:tcPr>
            <w:tcW w:w="556" w:type="dxa"/>
          </w:tcPr>
          <w:p w14:paraId="10275189" w14:textId="77777777" w:rsidR="00A8649C" w:rsidRPr="006601B1" w:rsidRDefault="00A8649C" w:rsidP="00A8649C">
            <w:pPr>
              <w:rPr>
                <w:b/>
              </w:rPr>
            </w:pPr>
            <w:r>
              <w:rPr>
                <w:b/>
              </w:rPr>
              <w:t>No.</w:t>
            </w:r>
          </w:p>
        </w:tc>
        <w:tc>
          <w:tcPr>
            <w:tcW w:w="1830" w:type="dxa"/>
          </w:tcPr>
          <w:p w14:paraId="4F6FAC37" w14:textId="77777777" w:rsidR="00A8649C" w:rsidRPr="006601B1" w:rsidRDefault="00A8649C" w:rsidP="00A8649C">
            <w:pPr>
              <w:rPr>
                <w:b/>
              </w:rPr>
            </w:pPr>
            <w:r>
              <w:rPr>
                <w:b/>
              </w:rPr>
              <w:t>Term</w:t>
            </w:r>
          </w:p>
        </w:tc>
        <w:tc>
          <w:tcPr>
            <w:tcW w:w="7242" w:type="dxa"/>
          </w:tcPr>
          <w:p w14:paraId="0A2EA3B5" w14:textId="77777777" w:rsidR="00A8649C" w:rsidRPr="006601B1" w:rsidRDefault="00A8649C" w:rsidP="00A8649C">
            <w:pPr>
              <w:rPr>
                <w:b/>
              </w:rPr>
            </w:pPr>
            <w:r>
              <w:rPr>
                <w:b/>
              </w:rPr>
              <w:t>Definition</w:t>
            </w:r>
          </w:p>
        </w:tc>
      </w:tr>
      <w:tr w:rsidR="004D61A7" w:rsidRPr="00804C72" w14:paraId="3E746E96" w14:textId="77777777" w:rsidTr="00F862FF">
        <w:tc>
          <w:tcPr>
            <w:tcW w:w="556" w:type="dxa"/>
          </w:tcPr>
          <w:p w14:paraId="6D865793" w14:textId="77777777" w:rsidR="00A8649C" w:rsidRPr="006601B1" w:rsidRDefault="00A8649C" w:rsidP="00A8649C">
            <w:pPr>
              <w:rPr>
                <w:b/>
              </w:rPr>
            </w:pPr>
            <w:r>
              <w:rPr>
                <w:b/>
              </w:rPr>
              <w:t>1</w:t>
            </w:r>
          </w:p>
        </w:tc>
        <w:tc>
          <w:tcPr>
            <w:tcW w:w="1830" w:type="dxa"/>
          </w:tcPr>
          <w:p w14:paraId="55DA99B0" w14:textId="77777777" w:rsidR="00A8649C" w:rsidRPr="006601B1" w:rsidRDefault="00A8649C" w:rsidP="00A8649C">
            <w:pPr>
              <w:rPr>
                <w:b/>
              </w:rPr>
            </w:pPr>
            <w:r>
              <w:rPr>
                <w:b/>
              </w:rPr>
              <w:t>Scientific Team</w:t>
            </w:r>
          </w:p>
        </w:tc>
        <w:tc>
          <w:tcPr>
            <w:tcW w:w="7242" w:type="dxa"/>
          </w:tcPr>
          <w:p w14:paraId="3E46D55F" w14:textId="4ED29ABA" w:rsidR="00A8649C" w:rsidRPr="00157B9D" w:rsidRDefault="00157B9D" w:rsidP="00A8649C">
            <w:r>
              <w:t>Scientific staff and scientific technical staff (persons who have the necessary technical knowledge and experience in one or several fields and who, under the supervision of scientists, participate in scientific activities by carrying out technical tasks; the scientific staff include engineers, technicians, laboratory assistants, technologists, operators) who participate in implementation of the project. The scientific group includes the project manager, main participants (if required</w:t>
            </w:r>
            <w:proofErr w:type="gramStart"/>
            <w:r>
              <w:t>)</w:t>
            </w:r>
            <w:proofErr w:type="gramEnd"/>
            <w:r>
              <w:t xml:space="preserve"> and the project participants.</w:t>
            </w:r>
          </w:p>
        </w:tc>
      </w:tr>
      <w:tr w:rsidR="004D61A7" w:rsidRPr="00804C72" w14:paraId="7A2C8700" w14:textId="77777777" w:rsidTr="00F862FF">
        <w:tc>
          <w:tcPr>
            <w:tcW w:w="556" w:type="dxa"/>
          </w:tcPr>
          <w:p w14:paraId="13C33880" w14:textId="77777777" w:rsidR="00A8649C" w:rsidRPr="006601B1" w:rsidRDefault="00A8649C" w:rsidP="00A8649C">
            <w:pPr>
              <w:rPr>
                <w:b/>
              </w:rPr>
            </w:pPr>
            <w:r>
              <w:rPr>
                <w:b/>
              </w:rPr>
              <w:t>2</w:t>
            </w:r>
          </w:p>
        </w:tc>
        <w:tc>
          <w:tcPr>
            <w:tcW w:w="1830" w:type="dxa"/>
          </w:tcPr>
          <w:p w14:paraId="435B4F55" w14:textId="77777777" w:rsidR="00A8649C" w:rsidRPr="006601B1" w:rsidRDefault="00A8649C" w:rsidP="00A8649C">
            <w:pPr>
              <w:rPr>
                <w:b/>
              </w:rPr>
            </w:pPr>
            <w:r>
              <w:rPr>
                <w:b/>
              </w:rPr>
              <w:t>Scientific Staff</w:t>
            </w:r>
          </w:p>
        </w:tc>
        <w:tc>
          <w:tcPr>
            <w:tcW w:w="7242" w:type="dxa"/>
          </w:tcPr>
          <w:p w14:paraId="20FF38A3" w14:textId="71DF3DD6" w:rsidR="00A8649C" w:rsidRPr="006601B1" w:rsidRDefault="00E84476" w:rsidP="00A8649C">
            <w:r>
              <w:t>Senior researchers, researchers, scientific assistants, academic staff</w:t>
            </w:r>
            <w:r w:rsidR="00F862FF" w:rsidRPr="006601B1">
              <w:rPr>
                <w:rStyle w:val="FootnoteReference"/>
                <w:lang w:val="lv-LV"/>
              </w:rPr>
              <w:footnoteReference w:id="1"/>
            </w:r>
            <w:r>
              <w:t xml:space="preserve"> and students of a higher education institution.</w:t>
            </w:r>
          </w:p>
        </w:tc>
      </w:tr>
      <w:tr w:rsidR="004D61A7" w:rsidRPr="00804C72" w14:paraId="2A192792" w14:textId="77777777" w:rsidTr="00F862FF">
        <w:tc>
          <w:tcPr>
            <w:tcW w:w="556" w:type="dxa"/>
          </w:tcPr>
          <w:p w14:paraId="1943F746" w14:textId="77777777" w:rsidR="00A8649C" w:rsidRPr="006601B1" w:rsidRDefault="00A8649C" w:rsidP="00A8649C">
            <w:pPr>
              <w:rPr>
                <w:b/>
              </w:rPr>
            </w:pPr>
            <w:r>
              <w:rPr>
                <w:b/>
              </w:rPr>
              <w:t>3</w:t>
            </w:r>
          </w:p>
        </w:tc>
        <w:tc>
          <w:tcPr>
            <w:tcW w:w="1830" w:type="dxa"/>
          </w:tcPr>
          <w:p w14:paraId="5F71FE09" w14:textId="77777777" w:rsidR="00A8649C" w:rsidRPr="006601B1" w:rsidRDefault="00A8649C" w:rsidP="00A8649C">
            <w:pPr>
              <w:rPr>
                <w:b/>
              </w:rPr>
            </w:pPr>
            <w:r>
              <w:rPr>
                <w:b/>
              </w:rPr>
              <w:t>Project Applicant</w:t>
            </w:r>
          </w:p>
        </w:tc>
        <w:tc>
          <w:tcPr>
            <w:tcW w:w="7242" w:type="dxa"/>
          </w:tcPr>
          <w:p w14:paraId="332B95A8" w14:textId="1D579DEA" w:rsidR="00A8649C" w:rsidRPr="006601B1" w:rsidRDefault="00E84476" w:rsidP="00A8649C">
            <w:r>
              <w:t>A scientific institution registered in the Register of Scientific Institutions of the Republic of Latvia or a higher education institution corresponding to the definition of a research organisation</w:t>
            </w:r>
            <w:r w:rsidR="00F862FF" w:rsidRPr="006601B1">
              <w:rPr>
                <w:rStyle w:val="FootnoteReference"/>
                <w:lang w:val="lv-LV"/>
              </w:rPr>
              <w:footnoteReference w:id="2"/>
            </w:r>
            <w:r>
              <w:t>. Applicant is responsible for the implementation of the project and the achievement of the overall project results</w:t>
            </w:r>
          </w:p>
        </w:tc>
      </w:tr>
      <w:tr w:rsidR="004D61A7" w:rsidRPr="00E84476" w14:paraId="56C53748" w14:textId="77777777" w:rsidTr="00F862FF">
        <w:tc>
          <w:tcPr>
            <w:tcW w:w="556" w:type="dxa"/>
          </w:tcPr>
          <w:p w14:paraId="220FE834" w14:textId="77777777" w:rsidR="00A8649C" w:rsidRPr="006601B1" w:rsidRDefault="00A8649C" w:rsidP="00A8649C">
            <w:pPr>
              <w:rPr>
                <w:b/>
              </w:rPr>
            </w:pPr>
            <w:r>
              <w:rPr>
                <w:b/>
              </w:rPr>
              <w:t>4</w:t>
            </w:r>
          </w:p>
        </w:tc>
        <w:tc>
          <w:tcPr>
            <w:tcW w:w="1830" w:type="dxa"/>
          </w:tcPr>
          <w:p w14:paraId="574BD666" w14:textId="11EF5E28" w:rsidR="00A8649C" w:rsidRPr="006601B1" w:rsidRDefault="00A8649C" w:rsidP="00A8649C">
            <w:pPr>
              <w:rPr>
                <w:b/>
              </w:rPr>
            </w:pPr>
            <w:r>
              <w:rPr>
                <w:b/>
              </w:rPr>
              <w:t>Project Cooperation Partner – Scientific Institution</w:t>
            </w:r>
          </w:p>
        </w:tc>
        <w:tc>
          <w:tcPr>
            <w:tcW w:w="7242" w:type="dxa"/>
          </w:tcPr>
          <w:p w14:paraId="136CFA26" w14:textId="4551DD25" w:rsidR="00A8649C" w:rsidRPr="006601B1" w:rsidRDefault="00E84476" w:rsidP="00A8649C">
            <w:r>
              <w:t>The scientific institution registered in the Register of Scientific Institutions of the Republic of Latvia or a higher education institution corresponding to the definition of a research organisation. Own staff or research infrastructure involved in the project.</w:t>
            </w:r>
          </w:p>
        </w:tc>
      </w:tr>
      <w:tr w:rsidR="004D61A7" w:rsidRPr="00804C72" w14:paraId="1D94687B" w14:textId="77777777" w:rsidTr="00F862FF">
        <w:tc>
          <w:tcPr>
            <w:tcW w:w="556" w:type="dxa"/>
          </w:tcPr>
          <w:p w14:paraId="66E696D3" w14:textId="77777777" w:rsidR="00A8649C" w:rsidRPr="006601B1" w:rsidRDefault="00A8649C" w:rsidP="00A8649C">
            <w:pPr>
              <w:rPr>
                <w:b/>
              </w:rPr>
            </w:pPr>
            <w:r>
              <w:rPr>
                <w:b/>
              </w:rPr>
              <w:t>5</w:t>
            </w:r>
          </w:p>
        </w:tc>
        <w:tc>
          <w:tcPr>
            <w:tcW w:w="1830" w:type="dxa"/>
          </w:tcPr>
          <w:p w14:paraId="37351C68" w14:textId="26FBD4A3" w:rsidR="00A8649C" w:rsidRPr="006601B1" w:rsidRDefault="00A8649C" w:rsidP="00A8649C">
            <w:pPr>
              <w:rPr>
                <w:b/>
              </w:rPr>
            </w:pPr>
            <w:r>
              <w:rPr>
                <w:b/>
              </w:rPr>
              <w:t>Project Cooperation Partner – Public Institution</w:t>
            </w:r>
          </w:p>
        </w:tc>
        <w:tc>
          <w:tcPr>
            <w:tcW w:w="7242" w:type="dxa"/>
          </w:tcPr>
          <w:p w14:paraId="0B8F9003" w14:textId="709DA4B0" w:rsidR="00A8649C" w:rsidRPr="006601B1" w:rsidRDefault="00E84476" w:rsidP="00A8649C">
            <w:r>
              <w:t xml:space="preserve">A public institution which is required to carry out scientific activities by an external legal enactment, its </w:t>
            </w:r>
            <w:proofErr w:type="gramStart"/>
            <w:r>
              <w:t>by-law</w:t>
            </w:r>
            <w:proofErr w:type="gramEnd"/>
            <w:r>
              <w:t xml:space="preserve"> or articles of association, and is engaged in the implementation of the project with property, intellectual property, funding or human resources in its possession or ownership</w:t>
            </w:r>
          </w:p>
        </w:tc>
      </w:tr>
      <w:tr w:rsidR="004D61A7" w:rsidRPr="00804C72" w14:paraId="56BF48B4" w14:textId="77777777" w:rsidTr="00F862FF">
        <w:tc>
          <w:tcPr>
            <w:tcW w:w="556" w:type="dxa"/>
          </w:tcPr>
          <w:p w14:paraId="617902A9" w14:textId="77777777" w:rsidR="00A8649C" w:rsidRPr="006601B1" w:rsidRDefault="00A8649C" w:rsidP="00A8649C">
            <w:pPr>
              <w:rPr>
                <w:b/>
              </w:rPr>
            </w:pPr>
            <w:r>
              <w:rPr>
                <w:b/>
              </w:rPr>
              <w:lastRenderedPageBreak/>
              <w:t>6</w:t>
            </w:r>
          </w:p>
        </w:tc>
        <w:tc>
          <w:tcPr>
            <w:tcW w:w="1830" w:type="dxa"/>
          </w:tcPr>
          <w:p w14:paraId="7A67EE46" w14:textId="77777777" w:rsidR="00A8649C" w:rsidRPr="006601B1" w:rsidRDefault="00A8649C" w:rsidP="00A8649C">
            <w:pPr>
              <w:rPr>
                <w:b/>
              </w:rPr>
            </w:pPr>
            <w:r>
              <w:rPr>
                <w:b/>
              </w:rPr>
              <w:t>Project Manager</w:t>
            </w:r>
          </w:p>
        </w:tc>
        <w:tc>
          <w:tcPr>
            <w:tcW w:w="7242" w:type="dxa"/>
          </w:tcPr>
          <w:p w14:paraId="002CEE51" w14:textId="4820673F" w:rsidR="00F858C3" w:rsidRPr="006601B1" w:rsidRDefault="00F37660" w:rsidP="00A8649C">
            <w:r>
              <w:t xml:space="preserve">The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w:t>
            </w:r>
            <w:proofErr w:type="gramStart"/>
            <w:r>
              <w:t>preparation</w:t>
            </w:r>
            <w:proofErr w:type="gramEnd"/>
            <w:r>
              <w:t xml:space="preserve"> and submission of documentation describing the scientific progress of the project in accordance with the procedure provided for in the Cabinet Regulation. The project manager is registered in the National Scientific Activity Information System (the Information System).</w:t>
            </w:r>
          </w:p>
        </w:tc>
      </w:tr>
      <w:tr w:rsidR="004D61A7" w:rsidRPr="00804C72" w14:paraId="64736DB5" w14:textId="77777777" w:rsidTr="00F862FF">
        <w:tc>
          <w:tcPr>
            <w:tcW w:w="556" w:type="dxa"/>
          </w:tcPr>
          <w:p w14:paraId="035512D6" w14:textId="77777777" w:rsidR="00A8649C" w:rsidRPr="006601B1" w:rsidRDefault="00A8649C" w:rsidP="00A8649C">
            <w:pPr>
              <w:rPr>
                <w:b/>
              </w:rPr>
            </w:pPr>
            <w:r>
              <w:rPr>
                <w:b/>
              </w:rPr>
              <w:t>7</w:t>
            </w:r>
          </w:p>
        </w:tc>
        <w:tc>
          <w:tcPr>
            <w:tcW w:w="1830" w:type="dxa"/>
          </w:tcPr>
          <w:p w14:paraId="71C05DC0" w14:textId="77777777" w:rsidR="00A8649C" w:rsidRPr="006601B1" w:rsidRDefault="00A8649C" w:rsidP="00A8649C">
            <w:pPr>
              <w:rPr>
                <w:b/>
              </w:rPr>
            </w:pPr>
            <w:r>
              <w:rPr>
                <w:b/>
              </w:rPr>
              <w:t>Main Project Participants</w:t>
            </w:r>
          </w:p>
        </w:tc>
        <w:tc>
          <w:tcPr>
            <w:tcW w:w="7242" w:type="dxa"/>
          </w:tcPr>
          <w:p w14:paraId="7BD98FED" w14:textId="52DEBFE2" w:rsidR="00A8649C" w:rsidRPr="00CD48B2" w:rsidRDefault="00CD48B2" w:rsidP="00A8649C">
            <w:r>
              <w:t>The scientists who implement the project or sub-project and are responsible for the implementation of its parts.</w:t>
            </w:r>
          </w:p>
        </w:tc>
      </w:tr>
      <w:tr w:rsidR="004D61A7" w:rsidRPr="00804C72" w14:paraId="12995089" w14:textId="77777777" w:rsidTr="00F862FF">
        <w:tc>
          <w:tcPr>
            <w:tcW w:w="556" w:type="dxa"/>
          </w:tcPr>
          <w:p w14:paraId="3B44A746" w14:textId="77777777" w:rsidR="00A8649C" w:rsidRPr="006601B1" w:rsidRDefault="00A8649C" w:rsidP="00A8649C">
            <w:pPr>
              <w:rPr>
                <w:b/>
              </w:rPr>
            </w:pPr>
            <w:r>
              <w:rPr>
                <w:b/>
              </w:rPr>
              <w:t>8</w:t>
            </w:r>
          </w:p>
        </w:tc>
        <w:tc>
          <w:tcPr>
            <w:tcW w:w="1830" w:type="dxa"/>
          </w:tcPr>
          <w:p w14:paraId="53D1FF32" w14:textId="77777777" w:rsidR="00A8649C" w:rsidRPr="006601B1" w:rsidRDefault="00A8649C" w:rsidP="00A8649C">
            <w:pPr>
              <w:rPr>
                <w:b/>
              </w:rPr>
            </w:pPr>
            <w:r>
              <w:rPr>
                <w:b/>
              </w:rPr>
              <w:t>Project Participants</w:t>
            </w:r>
          </w:p>
        </w:tc>
        <w:tc>
          <w:tcPr>
            <w:tcW w:w="7242" w:type="dxa"/>
          </w:tcPr>
          <w:p w14:paraId="3A38080B" w14:textId="189F88CC" w:rsidR="00A8649C" w:rsidRPr="006601B1" w:rsidRDefault="00E84476" w:rsidP="00A8649C">
            <w:r>
              <w:t>Members of the scientific group who carry out individual scientific tasks in the implementation of the project and are responsible for carrying out relevant parts of it.</w:t>
            </w:r>
          </w:p>
        </w:tc>
      </w:tr>
      <w:tr w:rsidR="004D61A7" w:rsidRPr="00E84476" w14:paraId="70B38AA6" w14:textId="77777777" w:rsidTr="00F862FF">
        <w:tc>
          <w:tcPr>
            <w:tcW w:w="556" w:type="dxa"/>
          </w:tcPr>
          <w:p w14:paraId="1EB356A3" w14:textId="77777777" w:rsidR="00A8649C" w:rsidRPr="006601B1" w:rsidRDefault="00A8649C" w:rsidP="00A8649C">
            <w:pPr>
              <w:rPr>
                <w:b/>
              </w:rPr>
            </w:pPr>
            <w:r>
              <w:rPr>
                <w:b/>
              </w:rPr>
              <w:t>9</w:t>
            </w:r>
          </w:p>
        </w:tc>
        <w:tc>
          <w:tcPr>
            <w:tcW w:w="1830" w:type="dxa"/>
          </w:tcPr>
          <w:p w14:paraId="610F6DE6" w14:textId="77777777" w:rsidR="00A8649C" w:rsidRPr="006601B1" w:rsidRDefault="00A8649C" w:rsidP="00A8649C">
            <w:pPr>
              <w:rPr>
                <w:b/>
              </w:rPr>
            </w:pPr>
            <w:r>
              <w:rPr>
                <w:b/>
              </w:rPr>
              <w:t>Students of the Higher Education Institution</w:t>
            </w:r>
          </w:p>
        </w:tc>
        <w:tc>
          <w:tcPr>
            <w:tcW w:w="7242" w:type="dxa"/>
          </w:tcPr>
          <w:p w14:paraId="27F803B9" w14:textId="08705102" w:rsidR="00A8649C" w:rsidRPr="006601B1" w:rsidRDefault="00E84476" w:rsidP="008A16FD">
            <w:pPr>
              <w:pStyle w:val="FootnoteText"/>
              <w:rPr>
                <w:sz w:val="24"/>
                <w:szCs w:val="24"/>
              </w:rPr>
            </w:pPr>
            <w:r>
              <w:rPr>
                <w:sz w:val="24"/>
              </w:rPr>
              <w:t>A student of the bachelor degree study programme, a student of the vocational study programme, a student of the master’s degree study programmes (master’s programme student), a resident in medicine, and a doctoral student, and also a doctoral degree nominee are students involved in the Scientific Team of the project.</w:t>
            </w:r>
            <w:r w:rsidR="00A8649C" w:rsidRPr="006601B1">
              <w:rPr>
                <w:sz w:val="24"/>
                <w:szCs w:val="24"/>
                <w:vertAlign w:val="superscript"/>
              </w:rPr>
              <w:footnoteReference w:id="3"/>
            </w:r>
            <w:r>
              <w:rPr>
                <w:sz w:val="24"/>
              </w:rPr>
              <w:t xml:space="preserve"> Students of the institution of higher education must be involved in the project according to the provisions of paragraphs 20-23 of the Regulations.</w:t>
            </w:r>
          </w:p>
        </w:tc>
      </w:tr>
      <w:tr w:rsidR="004D61A7" w:rsidRPr="00804C72" w14:paraId="68F2E0C6" w14:textId="77777777" w:rsidTr="00F862FF">
        <w:tc>
          <w:tcPr>
            <w:tcW w:w="556" w:type="dxa"/>
          </w:tcPr>
          <w:p w14:paraId="32DAF638" w14:textId="77777777" w:rsidR="00A8649C" w:rsidRPr="006601B1" w:rsidRDefault="00A8649C" w:rsidP="00A8649C">
            <w:pPr>
              <w:rPr>
                <w:b/>
              </w:rPr>
            </w:pPr>
            <w:r>
              <w:rPr>
                <w:b/>
              </w:rPr>
              <w:t>10</w:t>
            </w:r>
          </w:p>
        </w:tc>
        <w:tc>
          <w:tcPr>
            <w:tcW w:w="1830" w:type="dxa"/>
          </w:tcPr>
          <w:p w14:paraId="15249C30" w14:textId="77777777" w:rsidR="00A8649C" w:rsidRPr="006601B1" w:rsidRDefault="00A8649C" w:rsidP="00A8649C">
            <w:pPr>
              <w:rPr>
                <w:b/>
              </w:rPr>
            </w:pPr>
            <w:r>
              <w:rPr>
                <w:b/>
              </w:rPr>
              <w:t>Project Contact Person</w:t>
            </w:r>
          </w:p>
        </w:tc>
        <w:tc>
          <w:tcPr>
            <w:tcW w:w="7242" w:type="dxa"/>
          </w:tcPr>
          <w:p w14:paraId="388888BF" w14:textId="5288A243" w:rsidR="00A8649C" w:rsidRPr="007C15AE" w:rsidRDefault="007C15AE" w:rsidP="00A8649C">
            <w:r>
              <w:t xml:space="preserve">A natural person who is registered in the Information System, fills in information on the Project Proposal, uploads its annexes, </w:t>
            </w:r>
            <w:proofErr w:type="gramStart"/>
            <w:r>
              <w:t>and also</w:t>
            </w:r>
            <w:proofErr w:type="gramEnd"/>
            <w:r>
              <w:t>, where necessary, maintains contact with the staff of the Latvian Council of Science and the staff of the Ministry of Education and Science during the project submission and implementation. The Project Applicant shall indicate the Project Contact Person in Chapter 1 “General Information” of Part A of the Project Proposal. If the project has cooperation partners, their contact persons are likewise indicated. The contact person and the project manager can be the same person.</w:t>
            </w:r>
          </w:p>
        </w:tc>
      </w:tr>
    </w:tbl>
    <w:p w14:paraId="3C30289E" w14:textId="0B95F6FE" w:rsidR="00EE5F77" w:rsidRPr="006601B1" w:rsidRDefault="006E2F6D" w:rsidP="00D053AC">
      <w:pPr>
        <w:pStyle w:val="Heading1"/>
      </w:pPr>
      <w:bookmarkStart w:id="4" w:name="_Toc513469509"/>
      <w:bookmarkStart w:id="5" w:name="_Toc143245576"/>
      <w:r>
        <w:t xml:space="preserve">2 Scientific examination </w:t>
      </w:r>
      <w:bookmarkEnd w:id="4"/>
      <w:r>
        <w:t>of the project proposal</w:t>
      </w:r>
      <w:bookmarkEnd w:id="5"/>
    </w:p>
    <w:p w14:paraId="780299D6" w14:textId="69C4BFEE" w:rsidR="003270BF" w:rsidRPr="006601B1" w:rsidRDefault="003270BF" w:rsidP="00D053AC">
      <w:pPr>
        <w:autoSpaceDE w:val="0"/>
        <w:autoSpaceDN w:val="0"/>
        <w:adjustRightInd w:val="0"/>
        <w:spacing w:before="120" w:after="120"/>
        <w:ind w:firstLine="720"/>
      </w:pPr>
      <w:r>
        <w:t>1 The scientific evaluation process of all Project Proposals submitted within the scope of the Open Call shall be organised by the Council.</w:t>
      </w:r>
    </w:p>
    <w:p w14:paraId="16D490FE" w14:textId="66CBE01B" w:rsidR="003270BF" w:rsidRPr="006601B1" w:rsidRDefault="003270BF" w:rsidP="00D053AC">
      <w:pPr>
        <w:spacing w:before="120" w:after="120"/>
        <w:ind w:firstLine="720"/>
      </w:pPr>
      <w:r>
        <w:t>2 If the Project Proposal meets the administrative evaluation criteria, the Council shall, in accordance with the provisions laid down in Chapter VII, invite two or more suitably qualified experts to perform the scientific expert evaluation of the Project Proposal.</w:t>
      </w:r>
    </w:p>
    <w:p w14:paraId="5408D8A8" w14:textId="77777777" w:rsidR="003270BF" w:rsidRPr="006601B1" w:rsidRDefault="003270BF" w:rsidP="003270BF">
      <w:pPr>
        <w:ind w:firstLine="720"/>
        <w:rPr>
          <w:sz w:val="23"/>
          <w:szCs w:val="23"/>
        </w:rPr>
      </w:pPr>
      <w:r>
        <w:t>3 Prior to obtaining access to the Project Proposal in the Information System, the expert shall:</w:t>
      </w:r>
    </w:p>
    <w:p w14:paraId="726C96D8" w14:textId="2B3A409A" w:rsidR="003270BF" w:rsidRPr="006601B1" w:rsidRDefault="003270BF" w:rsidP="003270BF">
      <w:pPr>
        <w:ind w:firstLine="720"/>
        <w:contextualSpacing/>
      </w:pPr>
      <w:r>
        <w:t xml:space="preserve">3.1 declare that he or she has no conflict of interest </w:t>
      </w:r>
      <w:proofErr w:type="gramStart"/>
      <w:r>
        <w:t>and also</w:t>
      </w:r>
      <w:proofErr w:type="gramEnd"/>
      <w:r>
        <w:t xml:space="preserve"> undertake to comply with confidentiality requirements by signing and sending to the Council, by electronic mail, Annex 5 to the Regulations “Declaration of Absence of Conflict of Interest and Maintenance of Confidentiality” (hereinafter – the Declaration of the Expert);</w:t>
      </w:r>
    </w:p>
    <w:p w14:paraId="4AE3D94D" w14:textId="2CBAC384" w:rsidR="003270BF" w:rsidRPr="006601B1" w:rsidRDefault="003270BF" w:rsidP="003270BF">
      <w:pPr>
        <w:ind w:firstLine="720"/>
        <w:contextualSpacing/>
      </w:pPr>
      <w:r>
        <w:t>3.2 conclude a contract with the Council – Annex 6 to the Regulations “Service Contract for Scientific Evaluation” (hereinafter – the Service Contract).</w:t>
      </w:r>
    </w:p>
    <w:p w14:paraId="7AA0EE94" w14:textId="0F5F2AC5" w:rsidR="003270BF" w:rsidRPr="006601B1" w:rsidRDefault="003270BF" w:rsidP="00D053AC">
      <w:pPr>
        <w:spacing w:before="120" w:after="120"/>
        <w:ind w:firstLine="720"/>
      </w:pPr>
      <w:r>
        <w:t>4 The Council shall, upon receipt of the Declaration of the Expert and after conclusion of the Service Contract, give the expert access to the Project Proposal and to all the necessary information in the Information System to carry out an appropriate evaluation of the Project Proposal.</w:t>
      </w:r>
    </w:p>
    <w:p w14:paraId="59F76FFE" w14:textId="30BE06E8" w:rsidR="003270BF" w:rsidRPr="006601B1" w:rsidRDefault="003270BF" w:rsidP="00D053AC">
      <w:pPr>
        <w:spacing w:before="120" w:after="120"/>
        <w:ind w:firstLine="720"/>
      </w:pPr>
      <w:r>
        <w:lastRenderedPageBreak/>
        <w:t>5 The expert shall evaluate the Project Proposal by applying his or her competence and experience in scientific evaluation of projects in the relevant field of science and by justifying his or her evaluation with scientific evidence.</w:t>
      </w:r>
    </w:p>
    <w:p w14:paraId="31287DCC" w14:textId="57557C6A" w:rsidR="003270BF" w:rsidRPr="006601B1" w:rsidRDefault="003270BF" w:rsidP="00D053AC">
      <w:pPr>
        <w:spacing w:before="120" w:after="120"/>
        <w:ind w:firstLine="720"/>
      </w:pPr>
      <w:r>
        <w:t xml:space="preserve">6 In the course of the scientific expert evaluation, the expert shall cooperate with the Council </w:t>
      </w:r>
      <w:proofErr w:type="gramStart"/>
      <w:r>
        <w:t>and also</w:t>
      </w:r>
      <w:proofErr w:type="gramEnd"/>
      <w:r>
        <w:t xml:space="preserve"> comply with the instructions given by the Council pertaining to the performance of the expert evaluation in accordance with the Regulations and the Service Contract.</w:t>
      </w:r>
    </w:p>
    <w:p w14:paraId="65D06BDD" w14:textId="6D9AF34B" w:rsidR="00534D88" w:rsidRDefault="003270BF" w:rsidP="00D053AC">
      <w:pPr>
        <w:spacing w:before="120" w:after="120"/>
        <w:ind w:firstLine="720"/>
      </w:pPr>
      <w:r>
        <w:t>7 In accordance with Paragraph 43 of the Regulations, the expert is allowed to evaluate only 20 pages of the application and up to three additional pages if there are declarations from the institutions interested in using the project results, letters of recommendation on cooperation, etc.</w:t>
      </w:r>
    </w:p>
    <w:p w14:paraId="2A61F9C3" w14:textId="5AB53CC2" w:rsidR="003270BF" w:rsidRPr="006601B1" w:rsidRDefault="003270BF" w:rsidP="005339EC">
      <w:pPr>
        <w:pStyle w:val="NoSpacing"/>
        <w:spacing w:before="240" w:after="240"/>
        <w:jc w:val="center"/>
        <w:rPr>
          <w:b/>
          <w:bCs/>
        </w:rPr>
      </w:pPr>
      <w:bookmarkStart w:id="6" w:name="_Toc513469510"/>
      <w:bookmarkStart w:id="7" w:name="_Toc79581050"/>
      <w:r>
        <w:rPr>
          <w:b/>
        </w:rPr>
        <w:t>2.1 Individual Evaluation of the Project Proposal</w:t>
      </w:r>
      <w:bookmarkEnd w:id="6"/>
      <w:bookmarkEnd w:id="7"/>
    </w:p>
    <w:p w14:paraId="0BB76D3C" w14:textId="6E331691" w:rsidR="003270BF" w:rsidRPr="006601B1" w:rsidRDefault="003270BF" w:rsidP="00D053AC">
      <w:pPr>
        <w:spacing w:before="120" w:after="120"/>
        <w:ind w:firstLine="720"/>
      </w:pPr>
      <w:r>
        <w:t>8 In the information system, the expert completes and approves the individual evaluation of the project proposal (hereinafter – the individual evaluation), prepared in accordance with Annex 8 “Project proposal examination individual/consolidated assessment form” to the Regulations within two calendar weeks from the date of conclusion of the service contract and receipt of access to the project proposal and all necessary information unless a different deadline is specified in the expert contract.</w:t>
      </w:r>
    </w:p>
    <w:p w14:paraId="19D38717" w14:textId="77777777" w:rsidR="003270BF" w:rsidRPr="006601B1" w:rsidRDefault="003270BF" w:rsidP="00D053AC">
      <w:pPr>
        <w:spacing w:before="120" w:after="120"/>
        <w:ind w:firstLine="720"/>
      </w:pPr>
      <w:r>
        <w:t xml:space="preserve">9 In the Individual Evaluation, the expert shall evaluate each criterion and provide a score in points, </w:t>
      </w:r>
      <w:proofErr w:type="gramStart"/>
      <w:r>
        <w:t>taking into account</w:t>
      </w:r>
      <w:proofErr w:type="gramEnd"/>
      <w:r>
        <w:t xml:space="preserve"> the considerations set out in Paragraph 13 of the Methodology. </w:t>
      </w:r>
    </w:p>
    <w:p w14:paraId="01B81C80" w14:textId="77777777" w:rsidR="003270BF" w:rsidRPr="006601B1" w:rsidRDefault="003270BF" w:rsidP="003270BF">
      <w:pPr>
        <w:ind w:firstLine="720"/>
        <w:contextualSpacing/>
      </w:pPr>
      <w:r>
        <w:t>10 The expert shall evaluate the criteria and assign a score from 1 to 5 points for each criterion where:</w:t>
      </w:r>
    </w:p>
    <w:p w14:paraId="0F2A171F" w14:textId="061C4609" w:rsidR="003270BF" w:rsidRPr="006601B1" w:rsidRDefault="003270BF" w:rsidP="003270BF">
      <w:pPr>
        <w:ind w:firstLine="720"/>
        <w:contextualSpacing/>
      </w:pPr>
      <w:r>
        <w:t>10.1 excellent – 5 points (excellent Project Proposal, meets or exceeds the highest standards in the relevant field of science, any shortcomings in the Project Proposal are minor);</w:t>
      </w:r>
    </w:p>
    <w:p w14:paraId="5CC5B1B7" w14:textId="6D7945B3" w:rsidR="003270BF" w:rsidRPr="006601B1" w:rsidRDefault="003270BF" w:rsidP="003270BF">
      <w:pPr>
        <w:ind w:firstLine="720"/>
        <w:contextualSpacing/>
      </w:pPr>
      <w:r>
        <w:t>10.2 good – 4 points (good Project Proposal, meets the requirements of the criterion in the relevant field of science, but there are some shortcomings);</w:t>
      </w:r>
    </w:p>
    <w:p w14:paraId="273FA5D4" w14:textId="6880DC10" w:rsidR="003270BF" w:rsidRPr="006601B1" w:rsidRDefault="003270BF" w:rsidP="003270BF">
      <w:pPr>
        <w:ind w:firstLine="720"/>
        <w:contextualSpacing/>
      </w:pPr>
      <w:r>
        <w:t>10.3 satisfactory – 3 points (satisfactory Project Proposal, generally meets the requirements of the criterion in the relevant field of science, with some shortcomings that will make it difficult to implement the project and achieve high results);</w:t>
      </w:r>
    </w:p>
    <w:p w14:paraId="4FC98284" w14:textId="3287328C" w:rsidR="003270BF" w:rsidRPr="006601B1" w:rsidRDefault="003270BF" w:rsidP="003270BF">
      <w:pPr>
        <w:ind w:firstLine="720"/>
        <w:contextualSpacing/>
      </w:pPr>
      <w:r>
        <w:t>10.4 weak – 2 points (weak Project Proposal, partial or only general compliance with the requirements of the criterion in the relevant field of science, identifiable shortcomings that make it difficult to successfully implement the project and achieve its objectives);</w:t>
      </w:r>
    </w:p>
    <w:p w14:paraId="00A0ED41" w14:textId="61FA468D" w:rsidR="003270BF" w:rsidRPr="006601B1" w:rsidRDefault="003270BF" w:rsidP="003270BF">
      <w:pPr>
        <w:ind w:firstLine="720"/>
        <w:contextualSpacing/>
      </w:pPr>
      <w:r>
        <w:t>10.5 unsatisfactory – 1 point (unsatisfactory Project Proposal, does not meet the requirements of the relevant field of science for the criterion, and the information provided is insufficient for the assessment under the criterion, and there are significant shortcomings that make the implementation of the project and the achievement of the objectives questionable);</w:t>
      </w:r>
    </w:p>
    <w:p w14:paraId="38BA8E49" w14:textId="43172BF0" w:rsidR="003270BF" w:rsidRPr="006601B1" w:rsidRDefault="003270BF" w:rsidP="003270BF">
      <w:pPr>
        <w:ind w:firstLine="720"/>
        <w:contextualSpacing/>
      </w:pPr>
      <w:r>
        <w:t xml:space="preserve">10.6 if the score of the Project Proposal </w:t>
      </w:r>
      <w:proofErr w:type="gramStart"/>
      <w:r>
        <w:t>in a given</w:t>
      </w:r>
      <w:proofErr w:type="gramEnd"/>
      <w:r>
        <w:t xml:space="preserve"> criterion exceeds the requirements of the previous lowest score but does not fully meet the requirements of the next highest score, half point scores, i.e., 0.5, may also be given.</w:t>
      </w:r>
    </w:p>
    <w:p w14:paraId="621F2EF3" w14:textId="235D2893" w:rsidR="00C02E03" w:rsidRPr="00C02E03" w:rsidRDefault="003270BF" w:rsidP="00D053AC">
      <w:pPr>
        <w:spacing w:before="120" w:after="120"/>
        <w:ind w:firstLine="720"/>
      </w:pPr>
      <w:r>
        <w:t>11 For the score of each criterion, the expert provides a scientifically reasoned justification, using his or her competence and professional experience in scientific evaluation of projects in the relevant field of science. The expert shall explain in the justification the score awarded, using his or her professional qualifications and experience in the relevant field of science and topic.</w:t>
      </w:r>
    </w:p>
    <w:p w14:paraId="4FD2B269" w14:textId="2C5EB98D" w:rsidR="003270BF" w:rsidRPr="006601B1" w:rsidRDefault="003270BF" w:rsidP="00D053AC">
      <w:pPr>
        <w:spacing w:before="120" w:after="120"/>
        <w:ind w:firstLine="720"/>
      </w:pPr>
      <w:r>
        <w:t xml:space="preserve">12 Within three calendar days following the date of receipt of the Individual Evaluation, the Council shall assess the compliance of the Individual Evaluation with the considerations referred to in Paragraphs 27, 28, and 29 of the Cabinet Regulation, </w:t>
      </w:r>
      <w:proofErr w:type="gramStart"/>
      <w:r>
        <w:t>and also</w:t>
      </w:r>
      <w:proofErr w:type="gramEnd"/>
      <w:r>
        <w:t xml:space="preserve"> with the Methodology, where necessary, returning the Individual Evaluation to the expert for specification/revision/improvement, justifying the reasons for the return thereof. In the event of such return, the expert shall update, revise, and validate the Individual Evaluation in the Information System within three calendar days following the date of receipt of the notification from the Council, sent by electronic mail, of the return of the Individual Evaluation of the expert.</w:t>
      </w:r>
    </w:p>
    <w:p w14:paraId="205C5BE8" w14:textId="7427089D" w:rsidR="003A753C" w:rsidRPr="006601B1" w:rsidRDefault="003A753C" w:rsidP="00D053AC">
      <w:pPr>
        <w:spacing w:before="120" w:after="120"/>
        <w:ind w:firstLine="720"/>
      </w:pPr>
      <w:r>
        <w:lastRenderedPageBreak/>
        <w:t>13 The expert shall complete the Individual Evaluation in the Information System (see Annex 8 to the Regulations “Form for Individual/Consolidated Evaluation of the Project Proposal Expert Evaluation”) according to the following criteria and considerations:</w:t>
      </w: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804C72" w14:paraId="6A6854E4" w14:textId="77777777" w:rsidTr="00410212">
        <w:tc>
          <w:tcPr>
            <w:tcW w:w="9781" w:type="dxa"/>
            <w:gridSpan w:val="4"/>
          </w:tcPr>
          <w:p w14:paraId="30CAAD55" w14:textId="4BD848F1" w:rsidR="00EE5F77" w:rsidRPr="006601B1" w:rsidRDefault="00EE5F77" w:rsidP="008A16FD">
            <w:pPr>
              <w:jc w:val="center"/>
              <w:rPr>
                <w:b/>
              </w:rPr>
            </w:pPr>
            <w:r>
              <w:rPr>
                <w:b/>
              </w:rPr>
              <w:t>Individual/Consolidated Evaluation of the Project Proposal Expert Evaluation</w:t>
            </w:r>
          </w:p>
        </w:tc>
      </w:tr>
      <w:tr w:rsidR="004D61A7" w:rsidRPr="006601B1" w14:paraId="196F019B" w14:textId="77777777" w:rsidTr="00410212">
        <w:tc>
          <w:tcPr>
            <w:tcW w:w="9781" w:type="dxa"/>
            <w:gridSpan w:val="4"/>
          </w:tcPr>
          <w:p w14:paraId="3F8DA5D1" w14:textId="77777777" w:rsidR="00EE5F77" w:rsidRPr="006601B1" w:rsidRDefault="00EE5F77" w:rsidP="00410212">
            <w:r>
              <w:t>Project title:</w:t>
            </w:r>
          </w:p>
          <w:p w14:paraId="381F077C" w14:textId="66E69E0B" w:rsidR="00EE5F77" w:rsidRPr="006601B1" w:rsidRDefault="00EE5F77" w:rsidP="00410212">
            <w:r>
              <w:t>Expert(s):</w:t>
            </w:r>
          </w:p>
        </w:tc>
      </w:tr>
      <w:tr w:rsidR="004D61A7" w:rsidRPr="006601B1" w14:paraId="2B0F4D1B" w14:textId="77777777" w:rsidTr="00410212">
        <w:tc>
          <w:tcPr>
            <w:tcW w:w="576" w:type="dxa"/>
          </w:tcPr>
          <w:p w14:paraId="529D5DD1" w14:textId="77777777" w:rsidR="00EE5F77" w:rsidRPr="006601B1" w:rsidRDefault="00EE5F77" w:rsidP="00410212">
            <w:pPr>
              <w:rPr>
                <w:b/>
              </w:rPr>
            </w:pPr>
            <w:r>
              <w:rPr>
                <w:b/>
              </w:rPr>
              <w:t>1</w:t>
            </w:r>
          </w:p>
        </w:tc>
        <w:tc>
          <w:tcPr>
            <w:tcW w:w="5520" w:type="dxa"/>
            <w:gridSpan w:val="2"/>
          </w:tcPr>
          <w:p w14:paraId="7A24F1D7" w14:textId="2DB09417" w:rsidR="00EE5F77" w:rsidRPr="006601B1" w:rsidRDefault="005D2D37" w:rsidP="00410212">
            <w:pPr>
              <w:jc w:val="center"/>
              <w:rPr>
                <w:b/>
              </w:rPr>
            </w:pPr>
            <w:r>
              <w:rPr>
                <w:b/>
              </w:rPr>
              <w:t>Criterion: Scientific Quality of the Project</w:t>
            </w:r>
          </w:p>
        </w:tc>
        <w:tc>
          <w:tcPr>
            <w:tcW w:w="3685" w:type="dxa"/>
          </w:tcPr>
          <w:p w14:paraId="765EB9EA" w14:textId="77777777" w:rsidR="00EE5F77" w:rsidRPr="006601B1" w:rsidRDefault="00EE5F77" w:rsidP="00410212">
            <w:pPr>
              <w:rPr>
                <w:b/>
              </w:rPr>
            </w:pPr>
            <w:r>
              <w:t>Maximum 5 points</w:t>
            </w:r>
          </w:p>
        </w:tc>
      </w:tr>
      <w:tr w:rsidR="00FF4F5B" w:rsidRPr="00804C72" w14:paraId="5A341578" w14:textId="77777777" w:rsidTr="00410212">
        <w:tc>
          <w:tcPr>
            <w:tcW w:w="576" w:type="dxa"/>
          </w:tcPr>
          <w:p w14:paraId="189FC690" w14:textId="6C85D5B5" w:rsidR="00FF4F5B" w:rsidRPr="006601B1" w:rsidRDefault="00FF4F5B" w:rsidP="00410212">
            <w:pPr>
              <w:rPr>
                <w:b/>
                <w:lang w:val="lv-LV"/>
              </w:rPr>
            </w:pPr>
          </w:p>
        </w:tc>
        <w:tc>
          <w:tcPr>
            <w:tcW w:w="3530" w:type="dxa"/>
          </w:tcPr>
          <w:p w14:paraId="4491484C" w14:textId="4F849FB6" w:rsidR="00FF4F5B" w:rsidRPr="006601B1" w:rsidRDefault="00FF4F5B" w:rsidP="00410212">
            <w:pPr>
              <w:rPr>
                <w:lang w:val="lv-LV"/>
              </w:rPr>
            </w:pPr>
          </w:p>
        </w:tc>
        <w:tc>
          <w:tcPr>
            <w:tcW w:w="5675" w:type="dxa"/>
            <w:gridSpan w:val="2"/>
            <w:vMerge w:val="restart"/>
          </w:tcPr>
          <w:p w14:paraId="09E910F7" w14:textId="7E24C785" w:rsidR="00FF4F5B" w:rsidRPr="004D6687" w:rsidRDefault="00FF4F5B" w:rsidP="00E043A2">
            <w:pPr>
              <w:rPr>
                <w:i/>
              </w:rPr>
            </w:pPr>
            <w:r>
              <w:rPr>
                <w:i/>
              </w:rPr>
              <w:t xml:space="preserve">The expert shall justify the score in points given by </w:t>
            </w:r>
            <w:proofErr w:type="gramStart"/>
            <w:r>
              <w:rPr>
                <w:i/>
              </w:rPr>
              <w:t>taking into account</w:t>
            </w:r>
            <w:proofErr w:type="gramEnd"/>
            <w:r>
              <w:rPr>
                <w:i/>
              </w:rPr>
              <w:t xml:space="preserve"> the fulfilment of the criterion as a whole and the fulfilment of each criterion consideration. </w:t>
            </w:r>
          </w:p>
          <w:p w14:paraId="4D3C9405" w14:textId="3B738CB4" w:rsidR="00FF4F5B" w:rsidRPr="004D6687" w:rsidRDefault="00FF4F5B" w:rsidP="00E043A2">
            <w:pPr>
              <w:rPr>
                <w:i/>
              </w:rPr>
            </w:pPr>
            <w:r>
              <w:rPr>
                <w:i/>
              </w:rPr>
              <w:t xml:space="preserve">1 Specific information for the criterion is given in Chapter 1 “Scientific Excellence” of the Project Proposal </w:t>
            </w:r>
            <w:proofErr w:type="gramStart"/>
            <w:r>
              <w:rPr>
                <w:i/>
              </w:rPr>
              <w:t>and also</w:t>
            </w:r>
            <w:proofErr w:type="gramEnd"/>
            <w:r>
              <w:rPr>
                <w:i/>
              </w:rPr>
              <w:t xml:space="preserve"> in Sub-chapter 2.5 “Scientific Results of the Project and Ensuring Availability Thereof” and Sub-chapter 3.1 “Project Applicant and Scientific Group”, but it is the Project Proposal </w:t>
            </w:r>
            <w:proofErr w:type="gramStart"/>
            <w:r>
              <w:rPr>
                <w:i/>
              </w:rPr>
              <w:t>as a whole that</w:t>
            </w:r>
            <w:proofErr w:type="gramEnd"/>
            <w:r>
              <w:rPr>
                <w:i/>
              </w:rPr>
              <w:t xml:space="preserve"> should be </w:t>
            </w:r>
            <w:proofErr w:type="gramStart"/>
            <w:r>
              <w:rPr>
                <w:i/>
              </w:rPr>
              <w:t>taken into account</w:t>
            </w:r>
            <w:proofErr w:type="gramEnd"/>
            <w:r>
              <w:rPr>
                <w:i/>
              </w:rPr>
              <w:t xml:space="preserve"> when assessing the criterion. </w:t>
            </w:r>
          </w:p>
          <w:p w14:paraId="280757D0" w14:textId="70A11579" w:rsidR="00FF4F5B" w:rsidRPr="004D6687" w:rsidRDefault="00FF4F5B" w:rsidP="00E043A2">
            <w:pPr>
              <w:rPr>
                <w:i/>
              </w:rPr>
            </w:pPr>
            <w:r>
              <w:rPr>
                <w:i/>
              </w:rPr>
              <w:t>2 The scientific excellence of the project, including the selected research strategy and methodological solutions, the ability to generate new knowledge or technological insights, and also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and also the specificities of the institutions of the Project Applicant and the project cooperation partners (if any).</w:t>
            </w:r>
          </w:p>
          <w:p w14:paraId="3CC091CB" w14:textId="2C8C7ADC" w:rsidR="00FF4F5B" w:rsidRPr="004D6687" w:rsidRDefault="00FF4F5B" w:rsidP="00E043A2">
            <w:pPr>
              <w:rPr>
                <w:i/>
              </w:rPr>
            </w:pPr>
            <w:r>
              <w:rPr>
                <w:i/>
              </w:rPr>
              <w:t>3 The objective of the Programme and task provided for in Paragraph 5 of the Cabinet Order and the horizontal tasks of the Programme, the results (in accordance with Paragraphs 6 and 7 of the Cabinet Order) and their feasibility shall be taken into account in the evaluation, and also it shall be evaluated whether the Project Proposal is adequate for achieving the objective of the Programme in accordance with the area of the project and the envisaged time frame for implementation.</w:t>
            </w:r>
          </w:p>
          <w:p w14:paraId="7A47D2B3" w14:textId="61FA03FC" w:rsidR="00435099" w:rsidRPr="004D6687" w:rsidRDefault="00FF4F5B" w:rsidP="00435099">
            <w:pPr>
              <w:rPr>
                <w:i/>
              </w:rPr>
            </w:pPr>
            <w:r>
              <w:rPr>
                <w:i/>
              </w:rPr>
              <w:t>4 The overall potential of the project to develop the knowledge base in the food self-sufficiency of Latvia and/or integrated or adapted forest management areas to develop national research and innovation systems that address societal challenges is also assessed.</w:t>
            </w:r>
          </w:p>
          <w:p w14:paraId="306B0674" w14:textId="2CD88E6A" w:rsidR="00435099" w:rsidRPr="004D6687" w:rsidRDefault="00435099" w:rsidP="00435099">
            <w:pPr>
              <w:rPr>
                <w:i/>
              </w:rPr>
            </w:pPr>
            <w:r>
              <w:rPr>
                <w:i/>
              </w:rPr>
              <w:t>5 The expert shall also evaluate whether the Project Applicant has complied with the following conditions when completing the application:</w:t>
            </w:r>
          </w:p>
          <w:p w14:paraId="4FDA584A" w14:textId="2A82D4A2" w:rsidR="00052504" w:rsidRPr="004D6687" w:rsidRDefault="00052504" w:rsidP="00052504">
            <w:pPr>
              <w:ind w:left="720"/>
              <w:rPr>
                <w:i/>
              </w:rPr>
            </w:pPr>
            <w:r>
              <w:rPr>
                <w:i/>
              </w:rPr>
              <w:t xml:space="preserve">- to develop a well-considered and balanced research design by selecting such research methods and technologies that are appropriate for scientific activity and research, including innovative research methods and technologies </w:t>
            </w:r>
            <w:r>
              <w:rPr>
                <w:i/>
              </w:rPr>
              <w:lastRenderedPageBreak/>
              <w:t>such as design-based research, with an emphasis on practical solutions;</w:t>
            </w:r>
          </w:p>
          <w:p w14:paraId="067A00A1" w14:textId="3C3CEBA5" w:rsidR="00052504" w:rsidRPr="004D6687" w:rsidRDefault="00052504" w:rsidP="00052504">
            <w:pPr>
              <w:ind w:left="720"/>
              <w:rPr>
                <w:i/>
              </w:rPr>
            </w:pPr>
            <w:r>
              <w:rPr>
                <w:i/>
              </w:rPr>
              <w:t>- to use data sets collected in Latvia, including the State Education Information System (SEIS), the Open Data Portal of Latvia, the Central Statistical Bureau, and other data;</w:t>
            </w:r>
          </w:p>
          <w:p w14:paraId="1176C9A1" w14:textId="7046A14D" w:rsidR="00052504" w:rsidRPr="004D6687" w:rsidRDefault="00052504" w:rsidP="00052504">
            <w:pPr>
              <w:ind w:left="720"/>
              <w:rPr>
                <w:i/>
              </w:rPr>
            </w:pPr>
            <w:r>
              <w:rPr>
                <w:i/>
              </w:rPr>
              <w:t>- to use international comparative research and international good practice in relation to national contexts and needs;</w:t>
            </w:r>
          </w:p>
          <w:p w14:paraId="1521CE41" w14:textId="624A9696" w:rsidR="00052504" w:rsidRPr="004D6687" w:rsidRDefault="00052504" w:rsidP="00052504">
            <w:pPr>
              <w:ind w:left="720"/>
              <w:rPr>
                <w:i/>
              </w:rPr>
            </w:pPr>
            <w:r>
              <w:rPr>
                <w:i/>
              </w:rPr>
              <w:t xml:space="preserve">- systematic reviews and meta-analyses should be an essential part of the research; </w:t>
            </w:r>
          </w:p>
          <w:p w14:paraId="4CF23FE5" w14:textId="366198ED" w:rsidR="00052504" w:rsidRPr="004D6687" w:rsidRDefault="00052504" w:rsidP="00052504">
            <w:pPr>
              <w:ind w:left="720"/>
              <w:rPr>
                <w:i/>
              </w:rPr>
            </w:pPr>
            <w:r>
              <w:rPr>
                <w:i/>
              </w:rPr>
              <w:t xml:space="preserve">- to assess the current solutions, proposing improvements or developing new solutions to achieve the research results; </w:t>
            </w:r>
          </w:p>
          <w:p w14:paraId="048A1B72" w14:textId="78AB3188" w:rsidR="00052504" w:rsidRPr="004D6687" w:rsidRDefault="00052504" w:rsidP="00052504">
            <w:pPr>
              <w:ind w:left="720"/>
              <w:rPr>
                <w:i/>
              </w:rPr>
            </w:pPr>
            <w:r>
              <w:rPr>
                <w:i/>
              </w:rPr>
              <w:t>- to base the focus of the research on a feasibility study based on an analysis of the current policy priorities and ongoing reforms;</w:t>
            </w:r>
          </w:p>
          <w:p w14:paraId="414BA36E" w14:textId="27C18CC6" w:rsidR="00052504" w:rsidRPr="004D6687" w:rsidRDefault="00052504" w:rsidP="00052504">
            <w:pPr>
              <w:ind w:left="720"/>
              <w:rPr>
                <w:i/>
              </w:rPr>
            </w:pPr>
            <w:r>
              <w:rPr>
                <w:i/>
              </w:rPr>
              <w:t>- to ensure active involvement of the user (target group) in the validation of the research results in practice at all levels, i.e. educational institution, municipality, national level, through continuous improvement of the research results based on the validation. Where applicable, use research methods to validate research results that allow the identification of causal links based on experimental or quasi-experimental methods;</w:t>
            </w:r>
          </w:p>
          <w:p w14:paraId="0767D78D" w14:textId="77777777" w:rsidR="00AE3ADE" w:rsidRPr="00E352D8" w:rsidRDefault="00052504" w:rsidP="00AE3ADE">
            <w:pPr>
              <w:ind w:left="720"/>
              <w:rPr>
                <w:i/>
                <w:iCs/>
                <w:strike/>
              </w:rPr>
            </w:pPr>
            <w:r>
              <w:rPr>
                <w:i/>
              </w:rPr>
              <w:t xml:space="preserve">- </w:t>
            </w:r>
            <w:r>
              <w:rPr>
                <w:i/>
                <w:iCs/>
              </w:rPr>
              <w:t>the sample and solution testing set must be representative in nature;</w:t>
            </w:r>
          </w:p>
          <w:p w14:paraId="06C9D60E" w14:textId="2BAF8E74" w:rsidR="00052504" w:rsidRPr="004D6687" w:rsidRDefault="00052504" w:rsidP="00052504">
            <w:pPr>
              <w:ind w:left="720"/>
            </w:pPr>
            <w:r>
              <w:rPr>
                <w:i/>
              </w:rPr>
              <w:t>- to assess the need (depending on the planned research topic) for collaboration between different disciplines and sub-disciplines to ensure the quality of the research objectives;</w:t>
            </w:r>
          </w:p>
          <w:p w14:paraId="08259248" w14:textId="112F155A" w:rsidR="00052504" w:rsidRPr="004D6687" w:rsidRDefault="00052504" w:rsidP="00052504">
            <w:pPr>
              <w:ind w:left="720"/>
              <w:rPr>
                <w:i/>
                <w:iCs/>
              </w:rPr>
            </w:pPr>
            <w:r>
              <w:rPr>
                <w:i/>
              </w:rPr>
              <w:t>- to develop internal project monitoring and risk management mechanisms for the quality implementation of the research, including the establishment of a project steering committee.</w:t>
            </w:r>
          </w:p>
          <w:p w14:paraId="148F581D" w14:textId="6A702FA2" w:rsidR="00435099" w:rsidRPr="004D6687" w:rsidRDefault="00435099" w:rsidP="00E043A2">
            <w:pPr>
              <w:rPr>
                <w:i/>
                <w:lang w:val="lv-LV"/>
              </w:rPr>
            </w:pPr>
          </w:p>
        </w:tc>
      </w:tr>
      <w:tr w:rsidR="00FF4F5B" w:rsidRPr="00804C72" w14:paraId="51DECF31" w14:textId="77777777" w:rsidTr="00410212">
        <w:tc>
          <w:tcPr>
            <w:tcW w:w="576" w:type="dxa"/>
          </w:tcPr>
          <w:p w14:paraId="050DCB78" w14:textId="5DA60282" w:rsidR="00FF4F5B" w:rsidRPr="006601B1" w:rsidRDefault="00FF4F5B" w:rsidP="00410212">
            <w:pPr>
              <w:rPr>
                <w:b/>
              </w:rPr>
            </w:pPr>
            <w:r>
              <w:rPr>
                <w:b/>
              </w:rPr>
              <w:t>1.1</w:t>
            </w:r>
          </w:p>
        </w:tc>
        <w:tc>
          <w:tcPr>
            <w:tcW w:w="3530" w:type="dxa"/>
          </w:tcPr>
          <w:p w14:paraId="7D437915" w14:textId="51EA3696" w:rsidR="00FF4F5B" w:rsidRPr="006601B1" w:rsidRDefault="00FF4F5B" w:rsidP="00410212">
            <w:r>
              <w:t>Consideration: the scientific quality, reliability, and novelty of the research</w:t>
            </w:r>
          </w:p>
        </w:tc>
        <w:tc>
          <w:tcPr>
            <w:tcW w:w="5675" w:type="dxa"/>
            <w:gridSpan w:val="2"/>
            <w:vMerge/>
          </w:tcPr>
          <w:p w14:paraId="3D8C7E87" w14:textId="774EEA07" w:rsidR="00FF4F5B" w:rsidRPr="006601B1" w:rsidRDefault="00FF4F5B" w:rsidP="00E043A2">
            <w:pPr>
              <w:rPr>
                <w:i/>
                <w:lang w:val="lv-LV"/>
              </w:rPr>
            </w:pPr>
          </w:p>
        </w:tc>
      </w:tr>
      <w:tr w:rsidR="00FF4F5B" w:rsidRPr="00804C72" w14:paraId="14959184" w14:textId="77777777" w:rsidTr="00410212">
        <w:tc>
          <w:tcPr>
            <w:tcW w:w="576" w:type="dxa"/>
          </w:tcPr>
          <w:p w14:paraId="6BBF75F2" w14:textId="44BB161C" w:rsidR="00FF4F5B" w:rsidRPr="006601B1" w:rsidRDefault="00FF4F5B" w:rsidP="00410212">
            <w:pPr>
              <w:rPr>
                <w:b/>
              </w:rPr>
            </w:pPr>
            <w:r>
              <w:rPr>
                <w:b/>
              </w:rPr>
              <w:t>1.2</w:t>
            </w:r>
          </w:p>
        </w:tc>
        <w:tc>
          <w:tcPr>
            <w:tcW w:w="3530" w:type="dxa"/>
          </w:tcPr>
          <w:p w14:paraId="2B1CBB61" w14:textId="47A65439" w:rsidR="00FF4F5B" w:rsidRPr="006601B1" w:rsidRDefault="00FF4F5B" w:rsidP="00410212">
            <w:r>
              <w:t xml:space="preserve">Consideration: the scientific quality of the selected research strategy and methodological solutions, </w:t>
            </w:r>
            <w:proofErr w:type="gramStart"/>
            <w:r>
              <w:t>and also</w:t>
            </w:r>
            <w:proofErr w:type="gramEnd"/>
            <w:r>
              <w:t xml:space="preserve"> the suitability for the achievement of the specified objectives and tasks</w:t>
            </w:r>
          </w:p>
        </w:tc>
        <w:tc>
          <w:tcPr>
            <w:tcW w:w="5675" w:type="dxa"/>
            <w:gridSpan w:val="2"/>
            <w:vMerge/>
          </w:tcPr>
          <w:p w14:paraId="084D3276" w14:textId="77777777" w:rsidR="00FF4F5B" w:rsidRPr="006601B1" w:rsidRDefault="00FF4F5B" w:rsidP="00410212">
            <w:pPr>
              <w:rPr>
                <w:lang w:val="lv-LV"/>
              </w:rPr>
            </w:pPr>
          </w:p>
        </w:tc>
      </w:tr>
      <w:tr w:rsidR="00FF4F5B" w:rsidRPr="00804C72" w14:paraId="5A3D5700" w14:textId="77777777" w:rsidTr="00410212">
        <w:tc>
          <w:tcPr>
            <w:tcW w:w="576" w:type="dxa"/>
          </w:tcPr>
          <w:p w14:paraId="48FC34B8" w14:textId="584C04B1" w:rsidR="00FF4F5B" w:rsidRPr="006601B1" w:rsidRDefault="00FF4F5B" w:rsidP="00410212">
            <w:pPr>
              <w:rPr>
                <w:b/>
              </w:rPr>
            </w:pPr>
            <w:r>
              <w:rPr>
                <w:b/>
              </w:rPr>
              <w:t>1.3</w:t>
            </w:r>
          </w:p>
        </w:tc>
        <w:tc>
          <w:tcPr>
            <w:tcW w:w="3530" w:type="dxa"/>
          </w:tcPr>
          <w:p w14:paraId="0E7F406D" w14:textId="31F2EDB5" w:rsidR="00FF4F5B" w:rsidRPr="006601B1" w:rsidRDefault="00FF4F5B" w:rsidP="00410212">
            <w:r>
              <w:t>Consideration: the ability of the project to generate new knowledge or technological insights</w:t>
            </w:r>
          </w:p>
        </w:tc>
        <w:tc>
          <w:tcPr>
            <w:tcW w:w="5675" w:type="dxa"/>
            <w:gridSpan w:val="2"/>
            <w:vMerge/>
          </w:tcPr>
          <w:p w14:paraId="42D7574F" w14:textId="77777777" w:rsidR="00FF4F5B" w:rsidRPr="006601B1" w:rsidRDefault="00FF4F5B" w:rsidP="00410212">
            <w:pPr>
              <w:rPr>
                <w:lang w:val="lv-LV"/>
              </w:rPr>
            </w:pPr>
          </w:p>
        </w:tc>
      </w:tr>
      <w:tr w:rsidR="00FF4F5B" w:rsidRPr="00804C72" w14:paraId="1229F790" w14:textId="77777777" w:rsidTr="00410212">
        <w:tc>
          <w:tcPr>
            <w:tcW w:w="576" w:type="dxa"/>
          </w:tcPr>
          <w:p w14:paraId="7E3F8B04" w14:textId="775CCFF1" w:rsidR="00FF4F5B" w:rsidRPr="006601B1" w:rsidRDefault="00FF4F5B" w:rsidP="00410212">
            <w:pPr>
              <w:rPr>
                <w:b/>
              </w:rPr>
            </w:pPr>
            <w:r>
              <w:rPr>
                <w:b/>
              </w:rPr>
              <w:t>1.4</w:t>
            </w:r>
          </w:p>
        </w:tc>
        <w:tc>
          <w:tcPr>
            <w:tcW w:w="3530" w:type="dxa"/>
          </w:tcPr>
          <w:p w14:paraId="66C5077F" w14:textId="6AFD6084" w:rsidR="00FF4F5B" w:rsidRPr="006601B1" w:rsidRDefault="00FF4F5B" w:rsidP="00410212">
            <w:r>
              <w:t>Consideration: the contribution of cooperation partners (if any), their scientific capacity, planned cooperation quality.</w:t>
            </w:r>
          </w:p>
        </w:tc>
        <w:tc>
          <w:tcPr>
            <w:tcW w:w="5675" w:type="dxa"/>
            <w:gridSpan w:val="2"/>
            <w:vMerge/>
          </w:tcPr>
          <w:p w14:paraId="2FBD7478" w14:textId="77777777" w:rsidR="00FF4F5B" w:rsidRPr="006601B1" w:rsidRDefault="00FF4F5B" w:rsidP="00410212">
            <w:pPr>
              <w:rPr>
                <w:lang w:val="lv-LV"/>
              </w:rPr>
            </w:pPr>
          </w:p>
        </w:tc>
      </w:tr>
      <w:tr w:rsidR="004D61A7" w:rsidRPr="006601B1" w14:paraId="7F9F9317" w14:textId="77777777" w:rsidTr="00410212">
        <w:tc>
          <w:tcPr>
            <w:tcW w:w="576" w:type="dxa"/>
          </w:tcPr>
          <w:p w14:paraId="6F0B0C3A" w14:textId="77777777" w:rsidR="00EE5F77" w:rsidRPr="006601B1" w:rsidRDefault="00EE5F77" w:rsidP="00410212">
            <w:pPr>
              <w:rPr>
                <w:b/>
              </w:rPr>
            </w:pPr>
            <w:r>
              <w:rPr>
                <w:b/>
              </w:rPr>
              <w:t>2</w:t>
            </w:r>
          </w:p>
        </w:tc>
        <w:tc>
          <w:tcPr>
            <w:tcW w:w="5520" w:type="dxa"/>
            <w:gridSpan w:val="2"/>
          </w:tcPr>
          <w:p w14:paraId="15E100C3" w14:textId="1EC908E3" w:rsidR="00EE5F77" w:rsidRPr="006601B1" w:rsidRDefault="00410212" w:rsidP="00410212">
            <w:pPr>
              <w:jc w:val="center"/>
              <w:rPr>
                <w:b/>
              </w:rPr>
            </w:pPr>
            <w:r>
              <w:rPr>
                <w:b/>
              </w:rPr>
              <w:t>Criterion: Impact of Project Results</w:t>
            </w:r>
          </w:p>
        </w:tc>
        <w:tc>
          <w:tcPr>
            <w:tcW w:w="3685" w:type="dxa"/>
          </w:tcPr>
          <w:p w14:paraId="73E6FDB2" w14:textId="77777777" w:rsidR="00EE5F77" w:rsidRPr="006601B1" w:rsidRDefault="00EE5F77" w:rsidP="00410212">
            <w:pPr>
              <w:rPr>
                <w:b/>
              </w:rPr>
            </w:pPr>
            <w:r>
              <w:t>Maximum 5 points</w:t>
            </w:r>
          </w:p>
        </w:tc>
      </w:tr>
      <w:tr w:rsidR="004D61A7" w:rsidRPr="00804C72" w14:paraId="714C4B48" w14:textId="77777777" w:rsidTr="00410212">
        <w:tc>
          <w:tcPr>
            <w:tcW w:w="576" w:type="dxa"/>
          </w:tcPr>
          <w:p w14:paraId="27DADC42" w14:textId="77777777" w:rsidR="00EE5F77" w:rsidRPr="006601B1" w:rsidRDefault="00EE5F77" w:rsidP="00410212">
            <w:pPr>
              <w:rPr>
                <w:b/>
              </w:rPr>
            </w:pPr>
            <w:r>
              <w:rPr>
                <w:b/>
              </w:rPr>
              <w:t>2.1</w:t>
            </w:r>
          </w:p>
        </w:tc>
        <w:tc>
          <w:tcPr>
            <w:tcW w:w="3530" w:type="dxa"/>
          </w:tcPr>
          <w:p w14:paraId="1240900B" w14:textId="5E094159" w:rsidR="00EE5F77" w:rsidRPr="006601B1" w:rsidRDefault="00C5791D" w:rsidP="00410212">
            <w:r>
              <w:t>Consideration: expected transfer of the acquired knowledge and skills in further activity and the development of scientific capacity</w:t>
            </w:r>
          </w:p>
        </w:tc>
        <w:tc>
          <w:tcPr>
            <w:tcW w:w="5675" w:type="dxa"/>
            <w:gridSpan w:val="2"/>
            <w:vMerge w:val="restart"/>
          </w:tcPr>
          <w:p w14:paraId="0149E496" w14:textId="0B8DF6DD" w:rsidR="00EE5F77" w:rsidRPr="00180EB1" w:rsidRDefault="00EE5F77" w:rsidP="00410212">
            <w:pPr>
              <w:rPr>
                <w:i/>
              </w:rPr>
            </w:pPr>
            <w:r>
              <w:rPr>
                <w:i/>
              </w:rPr>
              <w:t xml:space="preserve">The expert shall justify the score given by </w:t>
            </w:r>
            <w:proofErr w:type="gramStart"/>
            <w:r>
              <w:rPr>
                <w:i/>
              </w:rPr>
              <w:t>taking into account</w:t>
            </w:r>
            <w:proofErr w:type="gramEnd"/>
            <w:r>
              <w:rPr>
                <w:i/>
              </w:rPr>
              <w:t xml:space="preserve"> the fulfilment of the criterion as a whole and the sub-criteria thereof. Information which is specific to the criterion is provided in Paragraph 2 “Impact” of Part B “Description of the Project” of the Project Proposal but, upon evaluation of the criterion, the project proposal shall be </w:t>
            </w:r>
            <w:proofErr w:type="gramStart"/>
            <w:r>
              <w:rPr>
                <w:i/>
              </w:rPr>
              <w:t>taken into account</w:t>
            </w:r>
            <w:proofErr w:type="gramEnd"/>
            <w:r>
              <w:rPr>
                <w:i/>
              </w:rPr>
              <w:t xml:space="preserve"> as a whole. </w:t>
            </w:r>
          </w:p>
          <w:p w14:paraId="0AD30EEF" w14:textId="08B84B53" w:rsidR="00EE5F77" w:rsidRPr="00180EB1" w:rsidRDefault="00EE5F77" w:rsidP="00410212">
            <w:pPr>
              <w:rPr>
                <w:i/>
              </w:rPr>
            </w:pPr>
            <w:r>
              <w:rPr>
                <w:i/>
              </w:rPr>
              <w:t xml:space="preserve">The results and their expected impact, including the planned transfer of results in further activity and the development of scientific capacity, the possibilities for further development of research shall be assessed according to the specificities of the relevant field or fields of science and specificities of the project, </w:t>
            </w:r>
            <w:proofErr w:type="gramStart"/>
            <w:r>
              <w:rPr>
                <w:i/>
              </w:rPr>
              <w:t>and also</w:t>
            </w:r>
            <w:proofErr w:type="gramEnd"/>
            <w:r>
              <w:rPr>
                <w:i/>
              </w:rPr>
              <w:t xml:space="preserve"> the specificities of the institution of the Project Applicant and </w:t>
            </w:r>
            <w:r>
              <w:rPr>
                <w:i/>
              </w:rPr>
              <w:lastRenderedPageBreak/>
              <w:t xml:space="preserve">the specificities of the institutions of the project cooperation partners (if any). </w:t>
            </w:r>
          </w:p>
          <w:p w14:paraId="5DF0A264" w14:textId="613FDEAD" w:rsidR="00EE5F77" w:rsidRPr="00180EB1" w:rsidRDefault="00EE5F77" w:rsidP="00410212">
            <w:pPr>
              <w:rPr>
                <w:i/>
              </w:rPr>
            </w:pPr>
            <w:r>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2 “Scientific Group” and Chapter 3 “Budget” of Part A “General Information” of the Project Proposal.</w:t>
            </w:r>
          </w:p>
          <w:p w14:paraId="3C3332AB" w14:textId="6770D7AE" w:rsidR="007750AF" w:rsidRPr="00180EB1" w:rsidRDefault="00EE5F77" w:rsidP="00410212">
            <w:pPr>
              <w:rPr>
                <w:i/>
              </w:rPr>
            </w:pPr>
            <w:r>
              <w:rPr>
                <w:i/>
              </w:rPr>
              <w:t>Sustainability of the project results is assessed in relation to the expected scientific publications and the dissemination of the project results in scientific conferences. Information on the dissemination of the project results can be found in the Project Proposal description (Part B), Sub-chapter 2.5 “Scientific Results of the Project and Ensuring Access Thereto</w:t>
            </w:r>
            <w:proofErr w:type="gramStart"/>
            <w:r>
              <w:rPr>
                <w:i/>
              </w:rPr>
              <w:t>”.</w:t>
            </w:r>
            <w:proofErr w:type="gramEnd"/>
            <w:r>
              <w:rPr>
                <w:i/>
              </w:rPr>
              <w:t xml:space="preserve"> Particular attention should be paid to ensuring the sustainability of results, following the principles of Open Access, Open Data, FAIR (findable, accessible, interoperable, reusable), </w:t>
            </w:r>
            <w:proofErr w:type="gramStart"/>
            <w:r>
              <w:rPr>
                <w:i/>
              </w:rPr>
              <w:t>and also</w:t>
            </w:r>
            <w:proofErr w:type="gramEnd"/>
            <w:r>
              <w:rPr>
                <w:i/>
              </w:rPr>
              <w:t xml:space="preserve"> to the selection of the Project Applicant for data deposition.</w:t>
            </w:r>
          </w:p>
          <w:p w14:paraId="618974A2" w14:textId="5E646555" w:rsidR="00BF2537" w:rsidRPr="00180EB1" w:rsidRDefault="000C6E2C" w:rsidP="00180EB1">
            <w:pPr>
              <w:rPr>
                <w:i/>
                <w:highlight w:val="yellow"/>
              </w:rPr>
            </w:pPr>
            <w:r>
              <w:rPr>
                <w:i/>
              </w:rPr>
              <w:t xml:space="preserve">The potential of the project to raise public awareness of the project results and to increase the socio-economic impact of the project results should be </w:t>
            </w:r>
            <w:proofErr w:type="gramStart"/>
            <w:r>
              <w:rPr>
                <w:i/>
              </w:rPr>
              <w:t>taken into account</w:t>
            </w:r>
            <w:proofErr w:type="gramEnd"/>
            <w:r>
              <w:rPr>
                <w:i/>
              </w:rPr>
              <w:t xml:space="preserve"> (Sub-chapters 2.2-2.5 of the description of the Project Proposal). Evaluation of whether the plans described in the Project Proposal for applying and transferring the results of the research to end-users are adequate and feasible. Evaluation of the collaboration of the Project Applicant with other scientific institutions </w:t>
            </w:r>
            <w:proofErr w:type="gramStart"/>
            <w:r>
              <w:rPr>
                <w:i/>
              </w:rPr>
              <w:t>and also</w:t>
            </w:r>
            <w:proofErr w:type="gramEnd"/>
            <w:r>
              <w:rPr>
                <w:i/>
              </w:rPr>
              <w:t xml:space="preserve"> with public institutions, NGOs, and entrepreneurs.</w:t>
            </w:r>
          </w:p>
        </w:tc>
      </w:tr>
      <w:tr w:rsidR="004D61A7" w:rsidRPr="00804C72" w14:paraId="79B27674" w14:textId="77777777" w:rsidTr="00410212">
        <w:tc>
          <w:tcPr>
            <w:tcW w:w="576" w:type="dxa"/>
          </w:tcPr>
          <w:p w14:paraId="16F10098" w14:textId="77777777" w:rsidR="00EE5F77" w:rsidRPr="006601B1" w:rsidRDefault="00EE5F77" w:rsidP="00410212">
            <w:pPr>
              <w:rPr>
                <w:b/>
              </w:rPr>
            </w:pPr>
            <w:r>
              <w:rPr>
                <w:b/>
              </w:rPr>
              <w:t>2.2</w:t>
            </w:r>
          </w:p>
        </w:tc>
        <w:tc>
          <w:tcPr>
            <w:tcW w:w="3530" w:type="dxa"/>
          </w:tcPr>
          <w:p w14:paraId="36B08F60" w14:textId="6F0E5235" w:rsidR="00EE5F77" w:rsidRPr="006601B1" w:rsidRDefault="00C5791D" w:rsidP="00410212">
            <w:r>
              <w:t>Consideration: research development possibilities, including contribution to the preparation of new projects for submission in tenders of the European Union framework programmes for research and innovation and other research and innovation aid programmes and technology initiatives</w:t>
            </w:r>
          </w:p>
        </w:tc>
        <w:tc>
          <w:tcPr>
            <w:tcW w:w="5675" w:type="dxa"/>
            <w:gridSpan w:val="2"/>
            <w:vMerge/>
          </w:tcPr>
          <w:p w14:paraId="2E792CA5" w14:textId="77777777" w:rsidR="00EE5F77" w:rsidRPr="006601B1" w:rsidRDefault="00EE5F77" w:rsidP="00410212">
            <w:pPr>
              <w:rPr>
                <w:lang w:val="lv-LV"/>
              </w:rPr>
            </w:pPr>
          </w:p>
        </w:tc>
      </w:tr>
      <w:tr w:rsidR="004D61A7" w:rsidRPr="00804C72" w14:paraId="2F98CE43" w14:textId="77777777" w:rsidTr="00410212">
        <w:tc>
          <w:tcPr>
            <w:tcW w:w="576" w:type="dxa"/>
          </w:tcPr>
          <w:p w14:paraId="4E77290A" w14:textId="77777777" w:rsidR="00EE5F77" w:rsidRPr="006601B1" w:rsidRDefault="00EE5F77" w:rsidP="00410212">
            <w:pPr>
              <w:rPr>
                <w:b/>
              </w:rPr>
            </w:pPr>
            <w:r>
              <w:rPr>
                <w:b/>
              </w:rPr>
              <w:lastRenderedPageBreak/>
              <w:t>2.3</w:t>
            </w:r>
          </w:p>
        </w:tc>
        <w:tc>
          <w:tcPr>
            <w:tcW w:w="3530" w:type="dxa"/>
          </w:tcPr>
          <w:p w14:paraId="4C6E49DC" w14:textId="4D3BF4C9" w:rsidR="00EE5F77" w:rsidRPr="006601B1" w:rsidRDefault="00C5791D" w:rsidP="00410212">
            <w:r>
              <w:t>Consideration: the research will generate knowledge or policy recommendations and solutions relevant to the sector, the economy, and society</w:t>
            </w:r>
          </w:p>
        </w:tc>
        <w:tc>
          <w:tcPr>
            <w:tcW w:w="5675" w:type="dxa"/>
            <w:gridSpan w:val="2"/>
            <w:vMerge/>
          </w:tcPr>
          <w:p w14:paraId="3E1465F9" w14:textId="77777777" w:rsidR="00EE5F77" w:rsidRPr="006601B1" w:rsidRDefault="00EE5F77" w:rsidP="00410212">
            <w:pPr>
              <w:rPr>
                <w:lang w:val="lv-LV"/>
              </w:rPr>
            </w:pPr>
          </w:p>
        </w:tc>
      </w:tr>
      <w:tr w:rsidR="004D61A7" w:rsidRPr="00804C72" w14:paraId="2A88898B" w14:textId="77777777" w:rsidTr="00410212">
        <w:tc>
          <w:tcPr>
            <w:tcW w:w="576" w:type="dxa"/>
          </w:tcPr>
          <w:p w14:paraId="142D9AC9" w14:textId="77777777" w:rsidR="00EE5F77" w:rsidRPr="006601B1" w:rsidRDefault="00EE5F77" w:rsidP="00410212">
            <w:pPr>
              <w:rPr>
                <w:b/>
              </w:rPr>
            </w:pPr>
            <w:r>
              <w:rPr>
                <w:b/>
              </w:rPr>
              <w:t>2.4</w:t>
            </w:r>
          </w:p>
        </w:tc>
        <w:tc>
          <w:tcPr>
            <w:tcW w:w="3530" w:type="dxa"/>
          </w:tcPr>
          <w:p w14:paraId="3497DE92" w14:textId="570E89A1" w:rsidR="00EE5F77" w:rsidRPr="006601B1" w:rsidRDefault="00C5791D" w:rsidP="00410212">
            <w:r>
              <w:t>Consideration: sustainability of the knowledge generated and a qualitative dissemination plan, including planned scientific publications and public outreach</w:t>
            </w:r>
          </w:p>
        </w:tc>
        <w:tc>
          <w:tcPr>
            <w:tcW w:w="5675" w:type="dxa"/>
            <w:gridSpan w:val="2"/>
            <w:vMerge/>
          </w:tcPr>
          <w:p w14:paraId="414260CE" w14:textId="77777777" w:rsidR="00EE5F77" w:rsidRPr="006601B1" w:rsidRDefault="00EE5F77" w:rsidP="00410212">
            <w:pPr>
              <w:rPr>
                <w:lang w:val="lv-LV"/>
              </w:rPr>
            </w:pPr>
          </w:p>
        </w:tc>
      </w:tr>
      <w:tr w:rsidR="004D61A7" w:rsidRPr="00804C72" w14:paraId="387C9E66" w14:textId="77777777" w:rsidTr="00410212">
        <w:tc>
          <w:tcPr>
            <w:tcW w:w="576" w:type="dxa"/>
          </w:tcPr>
          <w:p w14:paraId="531150A4" w14:textId="77777777" w:rsidR="00EE5F77" w:rsidRPr="006601B1" w:rsidRDefault="00EE5F77" w:rsidP="00410212">
            <w:pPr>
              <w:rPr>
                <w:b/>
              </w:rPr>
            </w:pPr>
            <w:r>
              <w:rPr>
                <w:b/>
              </w:rPr>
              <w:t>2.5</w:t>
            </w:r>
          </w:p>
        </w:tc>
        <w:tc>
          <w:tcPr>
            <w:tcW w:w="3530" w:type="dxa"/>
          </w:tcPr>
          <w:p w14:paraId="5A4F97CA" w14:textId="0D9C6CF2" w:rsidR="00EE5F77" w:rsidRPr="006601B1" w:rsidRDefault="00C5791D" w:rsidP="00410212">
            <w:r>
              <w:t>Consideration: the research promotes the strengthening of the scientific capacity of the scientific staff involved in the research, including students</w:t>
            </w:r>
          </w:p>
        </w:tc>
        <w:tc>
          <w:tcPr>
            <w:tcW w:w="5675" w:type="dxa"/>
            <w:gridSpan w:val="2"/>
            <w:vMerge/>
          </w:tcPr>
          <w:p w14:paraId="3A7F1605" w14:textId="77777777" w:rsidR="00EE5F77" w:rsidRPr="006601B1" w:rsidRDefault="00EE5F77" w:rsidP="00410212">
            <w:pPr>
              <w:rPr>
                <w:lang w:val="lv-LV"/>
              </w:rPr>
            </w:pPr>
          </w:p>
        </w:tc>
      </w:tr>
      <w:tr w:rsidR="004D61A7" w:rsidRPr="006601B1" w14:paraId="3C9C6E10" w14:textId="77777777" w:rsidTr="00410212">
        <w:tc>
          <w:tcPr>
            <w:tcW w:w="576" w:type="dxa"/>
          </w:tcPr>
          <w:p w14:paraId="1FD58E11" w14:textId="77777777" w:rsidR="00EE5F77" w:rsidRPr="006601B1" w:rsidRDefault="00EE5F77" w:rsidP="00410212">
            <w:pPr>
              <w:rPr>
                <w:b/>
              </w:rPr>
            </w:pPr>
            <w:r>
              <w:rPr>
                <w:b/>
              </w:rPr>
              <w:t>3</w:t>
            </w:r>
          </w:p>
        </w:tc>
        <w:tc>
          <w:tcPr>
            <w:tcW w:w="5520" w:type="dxa"/>
            <w:gridSpan w:val="2"/>
          </w:tcPr>
          <w:p w14:paraId="5EB7E1F0" w14:textId="656FE5B0" w:rsidR="00EE5F77" w:rsidRPr="006601B1" w:rsidRDefault="00410212" w:rsidP="00410212">
            <w:pPr>
              <w:jc w:val="center"/>
              <w:rPr>
                <w:b/>
              </w:rPr>
            </w:pPr>
            <w:r>
              <w:rPr>
                <w:b/>
              </w:rPr>
              <w:t>Criterion: Project Feasibility and Provisions</w:t>
            </w:r>
          </w:p>
        </w:tc>
        <w:tc>
          <w:tcPr>
            <w:tcW w:w="3685" w:type="dxa"/>
          </w:tcPr>
          <w:p w14:paraId="4F63A421" w14:textId="77777777" w:rsidR="00EE5F77" w:rsidRPr="006601B1" w:rsidRDefault="00EE5F77" w:rsidP="00410212">
            <w:r>
              <w:t>Maximum 5 points</w:t>
            </w:r>
          </w:p>
        </w:tc>
      </w:tr>
      <w:tr w:rsidR="004D61A7" w:rsidRPr="00804C72" w14:paraId="710F39D0" w14:textId="77777777" w:rsidTr="00410212">
        <w:tc>
          <w:tcPr>
            <w:tcW w:w="576" w:type="dxa"/>
          </w:tcPr>
          <w:p w14:paraId="5837411D" w14:textId="77777777" w:rsidR="00EE5F77" w:rsidRPr="006601B1" w:rsidRDefault="00EE5F77" w:rsidP="00410212">
            <w:pPr>
              <w:rPr>
                <w:b/>
              </w:rPr>
            </w:pPr>
            <w:r>
              <w:rPr>
                <w:b/>
              </w:rPr>
              <w:t>3.1</w:t>
            </w:r>
          </w:p>
        </w:tc>
        <w:tc>
          <w:tcPr>
            <w:tcW w:w="3530" w:type="dxa"/>
          </w:tcPr>
          <w:p w14:paraId="5AC9E58D" w14:textId="78FE321F" w:rsidR="00EE5F77" w:rsidRPr="006601B1" w:rsidRDefault="004E4F6C" w:rsidP="00410212">
            <w:r>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675" w:type="dxa"/>
            <w:gridSpan w:val="2"/>
            <w:vMerge w:val="restart"/>
          </w:tcPr>
          <w:p w14:paraId="366CAEE3" w14:textId="18C98CA1" w:rsidR="00EE5F77" w:rsidRPr="00180EB1" w:rsidRDefault="00EE5F77" w:rsidP="00410212">
            <w:pPr>
              <w:rPr>
                <w:i/>
              </w:rPr>
            </w:pPr>
            <w:r>
              <w:rPr>
                <w:i/>
              </w:rPr>
              <w:t xml:space="preserve">The expert shall justify the score given by </w:t>
            </w:r>
            <w:proofErr w:type="gramStart"/>
            <w:r>
              <w:rPr>
                <w:i/>
              </w:rPr>
              <w:t>taking into account</w:t>
            </w:r>
            <w:proofErr w:type="gramEnd"/>
            <w:r>
              <w:rPr>
                <w:i/>
              </w:rPr>
              <w:t xml:space="preserve"> the fulfilment of the criterion as a whole and the sub-criteria thereof. Specific information for the criterion is given in Chapter 3 “Implementation” of the Project Proposal and in Part C “Curriculum Vitae” of the Project Proposal, but the evaluation of the criterion must </w:t>
            </w:r>
            <w:proofErr w:type="gramStart"/>
            <w:r>
              <w:rPr>
                <w:i/>
              </w:rPr>
              <w:t>take into account</w:t>
            </w:r>
            <w:proofErr w:type="gramEnd"/>
            <w:r>
              <w:rPr>
                <w:i/>
              </w:rPr>
              <w:t xml:space="preserve"> the Project Proposal as a whole. </w:t>
            </w:r>
          </w:p>
          <w:p w14:paraId="027E0480" w14:textId="0FE34DDD" w:rsidR="00EE5F77" w:rsidRPr="00180EB1" w:rsidRDefault="00EE5F77" w:rsidP="00410212">
            <w:pPr>
              <w:rPr>
                <w:i/>
              </w:rPr>
            </w:pPr>
            <w:r>
              <w:rPr>
                <w:i/>
              </w:rPr>
              <w:t xml:space="preserve">Feasibility of the project, including the prepared research work plan, the envisaged management and quality control of the research, information provided on the data management plan, the envisaged resources, accessible infrastructure, shall be evaluated according to the specificities of the relevant field or fields of science and specificities of the project, </w:t>
            </w:r>
            <w:proofErr w:type="gramStart"/>
            <w:r>
              <w:rPr>
                <w:i/>
              </w:rPr>
              <w:t>and also</w:t>
            </w:r>
            <w:proofErr w:type="gramEnd"/>
            <w:r>
              <w:rPr>
                <w:i/>
              </w:rPr>
              <w:t xml:space="preserve"> the specificities of the Project Applicant and the cooperation partner(s) (if any). </w:t>
            </w:r>
          </w:p>
          <w:p w14:paraId="377F414C" w14:textId="5ED01417" w:rsidR="00EE5F77" w:rsidRPr="00180EB1" w:rsidRDefault="00EE5F77" w:rsidP="00410212">
            <w:pPr>
              <w:rPr>
                <w:i/>
              </w:rPr>
            </w:pPr>
            <w:r>
              <w:rPr>
                <w:i/>
              </w:rPr>
              <w:t xml:space="preserve">The expert shall evaluate the relevance of the scientific qualifications and experience of the project manager and the main participants to the achievement of the project </w:t>
            </w:r>
            <w:r>
              <w:rPr>
                <w:i/>
              </w:rPr>
              <w:lastRenderedPageBreak/>
              <w:t xml:space="preserve">objectives and the performance of the tasks envisaged </w:t>
            </w:r>
            <w:proofErr w:type="gramStart"/>
            <w:r>
              <w:rPr>
                <w:i/>
              </w:rPr>
              <w:t>on the basis of</w:t>
            </w:r>
            <w:proofErr w:type="gramEnd"/>
            <w:r>
              <w:rPr>
                <w:i/>
              </w:rPr>
              <w:t xml:space="preserve"> the curriculum vitae submitted in Part C “Curriculum Vitae” of the Project Proposal.</w:t>
            </w:r>
          </w:p>
          <w:p w14:paraId="27F8CD31" w14:textId="060B36A9" w:rsidR="00EE5F77" w:rsidRPr="00180EB1" w:rsidRDefault="00EE5F77" w:rsidP="00410212">
            <w:pPr>
              <w:rPr>
                <w:i/>
              </w:rPr>
            </w:pPr>
            <w:r>
              <w:rPr>
                <w:i/>
              </w:rPr>
              <w:t xml:space="preserve">The planned implementation of the project shall be evaluated in relation to the completed Project Proposal in Chapter 3 “Budget” of Part A “General Information” which foresees the costs of the project team’s salary, material and technical support, </w:t>
            </w:r>
            <w:proofErr w:type="gramStart"/>
            <w:r>
              <w:rPr>
                <w:i/>
              </w:rPr>
              <w:t>travel</w:t>
            </w:r>
            <w:proofErr w:type="gramEnd"/>
            <w:r>
              <w:rPr>
                <w:i/>
              </w:rPr>
              <w:t xml:space="preserve"> and publication costs.</w:t>
            </w:r>
          </w:p>
          <w:p w14:paraId="7207967E" w14:textId="656984B6" w:rsidR="00435099" w:rsidRPr="006601B1" w:rsidRDefault="00435099" w:rsidP="00435099">
            <w:r>
              <w:rPr>
                <w:i/>
                <w:iCs/>
              </w:rPr>
              <w:t>The expert shall also evaluate</w:t>
            </w:r>
            <w:r>
              <w:rPr>
                <w:i/>
              </w:rPr>
              <w:t xml:space="preserve"> whether internal monitoring and risk management mechanisms are in place (research teams/</w:t>
            </w:r>
            <w:r>
              <w:rPr>
                <w:i/>
                <w:iCs/>
              </w:rPr>
              <w:t>steering committee</w:t>
            </w:r>
            <w:r>
              <w:rPr>
                <w:i/>
              </w:rPr>
              <w:t>).</w:t>
            </w:r>
          </w:p>
          <w:p w14:paraId="58F2B49B" w14:textId="77777777" w:rsidR="00435099" w:rsidRPr="006601B1" w:rsidRDefault="00435099" w:rsidP="00410212">
            <w:pPr>
              <w:rPr>
                <w:lang w:val="lv-LV"/>
              </w:rPr>
            </w:pPr>
          </w:p>
          <w:p w14:paraId="0EE48D59" w14:textId="77777777" w:rsidR="00EE5F77" w:rsidRPr="006601B1" w:rsidRDefault="00EE5F77" w:rsidP="00410212">
            <w:pPr>
              <w:rPr>
                <w:lang w:val="lv-LV"/>
              </w:rPr>
            </w:pPr>
          </w:p>
        </w:tc>
      </w:tr>
      <w:tr w:rsidR="004D61A7" w:rsidRPr="00804C72" w14:paraId="7C35E210" w14:textId="77777777" w:rsidTr="00410212">
        <w:tc>
          <w:tcPr>
            <w:tcW w:w="576" w:type="dxa"/>
          </w:tcPr>
          <w:p w14:paraId="7029E063" w14:textId="77777777" w:rsidR="00EE5F77" w:rsidRPr="006601B1" w:rsidRDefault="00EE5F77" w:rsidP="00410212">
            <w:pPr>
              <w:rPr>
                <w:b/>
              </w:rPr>
            </w:pPr>
            <w:r>
              <w:rPr>
                <w:b/>
              </w:rPr>
              <w:t>3.2</w:t>
            </w:r>
          </w:p>
        </w:tc>
        <w:tc>
          <w:tcPr>
            <w:tcW w:w="3530" w:type="dxa"/>
          </w:tcPr>
          <w:p w14:paraId="119231AD" w14:textId="4C491A6F" w:rsidR="00EE5F77" w:rsidRPr="006601B1" w:rsidRDefault="00E51846" w:rsidP="00410212">
            <w:r>
              <w:t xml:space="preserve">Consideration: scientific qualifications of the project manager and of the main project participants </w:t>
            </w:r>
            <w:proofErr w:type="gramStart"/>
            <w:r>
              <w:t>on the basis of</w:t>
            </w:r>
            <w:proofErr w:type="gramEnd"/>
            <w:r>
              <w:t xml:space="preserve"> the submitted curriculum vitae (CV)</w:t>
            </w:r>
          </w:p>
        </w:tc>
        <w:tc>
          <w:tcPr>
            <w:tcW w:w="5675" w:type="dxa"/>
            <w:gridSpan w:val="2"/>
            <w:vMerge/>
          </w:tcPr>
          <w:p w14:paraId="30886921" w14:textId="77777777" w:rsidR="00EE5F77" w:rsidRPr="006601B1" w:rsidRDefault="00EE5F77" w:rsidP="00410212">
            <w:pPr>
              <w:rPr>
                <w:lang w:val="lv-LV"/>
              </w:rPr>
            </w:pPr>
          </w:p>
        </w:tc>
      </w:tr>
      <w:tr w:rsidR="004D61A7" w:rsidRPr="00804C72" w14:paraId="7543E5F9" w14:textId="77777777" w:rsidTr="00410212">
        <w:tc>
          <w:tcPr>
            <w:tcW w:w="576" w:type="dxa"/>
          </w:tcPr>
          <w:p w14:paraId="3A2E802A" w14:textId="77777777" w:rsidR="00EE5F77" w:rsidRPr="006601B1" w:rsidRDefault="00EE5F77" w:rsidP="00410212">
            <w:pPr>
              <w:rPr>
                <w:b/>
              </w:rPr>
            </w:pPr>
            <w:r>
              <w:rPr>
                <w:b/>
              </w:rPr>
              <w:t>3.3</w:t>
            </w:r>
          </w:p>
        </w:tc>
        <w:tc>
          <w:tcPr>
            <w:tcW w:w="3530" w:type="dxa"/>
          </w:tcPr>
          <w:p w14:paraId="24F7AAF1" w14:textId="7C4F4C6E" w:rsidR="00EE5F77" w:rsidRPr="006601B1" w:rsidRDefault="00E51846" w:rsidP="00410212">
            <w:r>
              <w:t xml:space="preserve">Consideration: appropriate research management, including quality management, is intended. The management organisation </w:t>
            </w:r>
            <w:r>
              <w:lastRenderedPageBreak/>
              <w:t>allows to follow the progress of the research. Potential risks have been evaluated and a plan for the prevention thereof or minimisation of the negative impact thereof has been developed</w:t>
            </w:r>
          </w:p>
        </w:tc>
        <w:tc>
          <w:tcPr>
            <w:tcW w:w="5675" w:type="dxa"/>
            <w:gridSpan w:val="2"/>
            <w:vMerge/>
          </w:tcPr>
          <w:p w14:paraId="4C65B7AB" w14:textId="77777777" w:rsidR="00EE5F77" w:rsidRPr="006601B1" w:rsidRDefault="00EE5F77" w:rsidP="00410212">
            <w:pPr>
              <w:rPr>
                <w:lang w:val="lv-LV"/>
              </w:rPr>
            </w:pPr>
          </w:p>
        </w:tc>
      </w:tr>
      <w:tr w:rsidR="004D61A7" w:rsidRPr="00804C72" w14:paraId="0D02D7AB" w14:textId="77777777" w:rsidTr="00410212">
        <w:tc>
          <w:tcPr>
            <w:tcW w:w="576" w:type="dxa"/>
          </w:tcPr>
          <w:p w14:paraId="48DA6CE7" w14:textId="77777777" w:rsidR="00EE5F77" w:rsidRPr="006601B1" w:rsidRDefault="00EE5F77" w:rsidP="00410212">
            <w:pPr>
              <w:rPr>
                <w:b/>
              </w:rPr>
            </w:pPr>
            <w:r>
              <w:rPr>
                <w:b/>
              </w:rPr>
              <w:t>3.4</w:t>
            </w:r>
          </w:p>
        </w:tc>
        <w:tc>
          <w:tcPr>
            <w:tcW w:w="3530" w:type="dxa"/>
          </w:tcPr>
          <w:p w14:paraId="7E90C609" w14:textId="35FB5A5D" w:rsidR="00EE5F77" w:rsidRPr="006601B1" w:rsidRDefault="00E51846" w:rsidP="00410212">
            <w:r>
              <w:t>Consideration: there is the research infrastructure necessary for carrying out the research and access to another research infrastructure of cooperation partners (if applicable)</w:t>
            </w:r>
          </w:p>
        </w:tc>
        <w:tc>
          <w:tcPr>
            <w:tcW w:w="5675" w:type="dxa"/>
            <w:gridSpan w:val="2"/>
            <w:vMerge/>
          </w:tcPr>
          <w:p w14:paraId="130A4B99" w14:textId="77777777" w:rsidR="00EE5F77" w:rsidRPr="006601B1" w:rsidRDefault="00EE5F77" w:rsidP="00410212">
            <w:pPr>
              <w:rPr>
                <w:lang w:val="lv-LV"/>
              </w:rPr>
            </w:pPr>
          </w:p>
        </w:tc>
      </w:tr>
      <w:tr w:rsidR="004D61A7" w:rsidRPr="00804C72" w14:paraId="72D50A9D" w14:textId="77777777" w:rsidTr="00410212">
        <w:tc>
          <w:tcPr>
            <w:tcW w:w="576" w:type="dxa"/>
          </w:tcPr>
          <w:p w14:paraId="41187F9B" w14:textId="77777777" w:rsidR="00EE5F77" w:rsidRPr="006601B1" w:rsidRDefault="00EE5F77" w:rsidP="00410212">
            <w:pPr>
              <w:rPr>
                <w:b/>
              </w:rPr>
            </w:pPr>
            <w:r>
              <w:rPr>
                <w:b/>
              </w:rPr>
              <w:t>3.5</w:t>
            </w:r>
          </w:p>
        </w:tc>
        <w:tc>
          <w:tcPr>
            <w:tcW w:w="3530" w:type="dxa"/>
          </w:tcPr>
          <w:p w14:paraId="63E437E5" w14:textId="1B644DA3" w:rsidR="00EE5F77" w:rsidRPr="006601B1" w:rsidRDefault="00E51846" w:rsidP="00410212">
            <w:r>
              <w:t xml:space="preserve">Consideration: the institution which is implementing the research and its co-operation partners (if applicable) have the knowledge necessary for implementation of the project </w:t>
            </w:r>
          </w:p>
        </w:tc>
        <w:tc>
          <w:tcPr>
            <w:tcW w:w="5675" w:type="dxa"/>
            <w:gridSpan w:val="2"/>
            <w:vMerge/>
          </w:tcPr>
          <w:p w14:paraId="45413D2F" w14:textId="77777777" w:rsidR="00EE5F77" w:rsidRPr="006601B1" w:rsidRDefault="00EE5F77" w:rsidP="00410212">
            <w:pPr>
              <w:rPr>
                <w:lang w:val="lv-LV"/>
              </w:rPr>
            </w:pPr>
          </w:p>
        </w:tc>
      </w:tr>
      <w:tr w:rsidR="00DA370D" w:rsidRPr="00804C72" w14:paraId="5C44F511" w14:textId="77777777" w:rsidTr="0089617E">
        <w:tc>
          <w:tcPr>
            <w:tcW w:w="4106" w:type="dxa"/>
            <w:gridSpan w:val="2"/>
          </w:tcPr>
          <w:p w14:paraId="5BA6BC08" w14:textId="5CF639B4" w:rsidR="00DA370D" w:rsidRPr="00DA370D" w:rsidRDefault="00DA370D" w:rsidP="00DA370D">
            <w:r>
              <w:t>Expert recommendations for project implementation</w:t>
            </w:r>
          </w:p>
        </w:tc>
        <w:tc>
          <w:tcPr>
            <w:tcW w:w="5675" w:type="dxa"/>
            <w:gridSpan w:val="2"/>
          </w:tcPr>
          <w:p w14:paraId="268876DE" w14:textId="2EA4D3FB" w:rsidR="00DA370D" w:rsidRPr="00DA370D" w:rsidRDefault="00DA370D" w:rsidP="00DA370D">
            <w:pPr>
              <w:rPr>
                <w:i/>
                <w:iCs/>
              </w:rPr>
            </w:pPr>
            <w:r>
              <w:rPr>
                <w:i/>
              </w:rPr>
              <w:t>The expert shall make recommendations (if any) to the project implementer to ensure a more successful implementation of the project.</w:t>
            </w:r>
          </w:p>
        </w:tc>
      </w:tr>
      <w:tr w:rsidR="00DA370D" w:rsidRPr="00804C72" w14:paraId="3624FC71" w14:textId="77777777" w:rsidTr="0089617E">
        <w:tc>
          <w:tcPr>
            <w:tcW w:w="4106" w:type="dxa"/>
            <w:gridSpan w:val="2"/>
          </w:tcPr>
          <w:p w14:paraId="1EE0047B" w14:textId="1D6A5555" w:rsidR="00DA370D" w:rsidRPr="00F3547F" w:rsidRDefault="00DA370D" w:rsidP="00DA370D">
            <w:pPr>
              <w:rPr>
                <w:iCs/>
              </w:rPr>
            </w:pPr>
            <w:r>
              <w:t>Potential risks in project implementation</w:t>
            </w:r>
          </w:p>
        </w:tc>
        <w:tc>
          <w:tcPr>
            <w:tcW w:w="5675" w:type="dxa"/>
            <w:gridSpan w:val="2"/>
          </w:tcPr>
          <w:p w14:paraId="1318B6AE" w14:textId="0BB0DDCD" w:rsidR="00DA370D" w:rsidRPr="00F3547F" w:rsidRDefault="00DA370D" w:rsidP="00DA370D">
            <w:pPr>
              <w:rPr>
                <w:i/>
                <w:iCs/>
              </w:rPr>
            </w:pPr>
            <w:r>
              <w:rPr>
                <w:i/>
              </w:rPr>
              <w:t>The expert shall indicate the risks (if any) in the implementation of the project and whether they are low, medium, or high.</w:t>
            </w:r>
          </w:p>
        </w:tc>
      </w:tr>
    </w:tbl>
    <w:p w14:paraId="49DE0890" w14:textId="66A3F468" w:rsidR="00EE5F77" w:rsidRPr="006601B1" w:rsidRDefault="006E2F6D" w:rsidP="005339EC">
      <w:pPr>
        <w:pStyle w:val="Heading2"/>
      </w:pPr>
      <w:bookmarkStart w:id="8" w:name="_Toc513469511"/>
      <w:bookmarkStart w:id="9" w:name="_Toc143245577"/>
      <w:r>
        <w:t>2.2 Consolidated Evaluation of the Project Proposal</w:t>
      </w:r>
      <w:bookmarkEnd w:id="8"/>
      <w:bookmarkEnd w:id="9"/>
    </w:p>
    <w:p w14:paraId="5E16F5BD" w14:textId="6A381CAF" w:rsidR="00D57270" w:rsidRPr="00D57270" w:rsidRDefault="00D57270" w:rsidP="00D053AC">
      <w:pPr>
        <w:spacing w:before="120" w:after="120"/>
        <w:ind w:firstLine="709"/>
      </w:pPr>
      <w:r>
        <w:t>14 After receipt of the individual expert assessments on all project applications in the Information System, the Council shall, via online video conference (real-time video and audio transmission) organise and implement an expert panel discussion for the experts responsible for the preparation of the consolidated expert assessment of the project applications, setting up an expert panel for all the project applications submitted for the task achievement referred to in Section 5 of the Cabinet Order (hereinafter referred to as – the panel).</w:t>
      </w:r>
    </w:p>
    <w:p w14:paraId="3627DAC8" w14:textId="42E737FF" w:rsidR="00D57270" w:rsidRPr="00D57270" w:rsidRDefault="00D57270" w:rsidP="00D053AC">
      <w:pPr>
        <w:spacing w:before="120" w:after="120"/>
        <w:ind w:firstLine="709"/>
      </w:pPr>
      <w:r>
        <w:t>15 Within three working days following the conclusion of the panel, the expert responsible for the preparation of the consolidated expert evaluation of the respective Project Proposal shall, taking into account the individual evaluations by experts of the respective Project Proposal and also the panel results, complete the consolidated expert evaluation of the respective Project Proposal (hereinafter – the consolidated evaluation of the expert) in the Information System in accordance with Annex 8 “Form for Individual/Consolidated Evaluation of the Project Proposal Expert Evaluation” to the Regulations and shall, within three working days, agree thereon with other experts involved in the evaluation of the respective Project Proposal who have provided individual evaluation of the respective Project Proposal, and shall submit the evaluation in the Information System.</w:t>
      </w:r>
    </w:p>
    <w:p w14:paraId="6A9DBEBF" w14:textId="0138661F" w:rsidR="00D57270" w:rsidRPr="00D57270" w:rsidRDefault="00D57270" w:rsidP="00D053AC">
      <w:pPr>
        <w:spacing w:before="120" w:after="120"/>
        <w:ind w:firstLine="709"/>
      </w:pPr>
      <w:r>
        <w:t xml:space="preserve">16 If only one project application is submitted for the implementation of the tasks set out in Paragraph 5 of the Programme’s Cabinet Order, the Council shall not organise a panel on that Project Proposal. The Council shall give each expert access to the Individual Evaluation completed by the other expert </w:t>
      </w:r>
      <w:proofErr w:type="gramStart"/>
      <w:r>
        <w:t>and also</w:t>
      </w:r>
      <w:proofErr w:type="gramEnd"/>
      <w:r>
        <w:t xml:space="preserve"> disclose the identity of the other experts to each expert.</w:t>
      </w:r>
    </w:p>
    <w:p w14:paraId="14557F85" w14:textId="0B44A0DB" w:rsidR="00D57270" w:rsidRPr="00D57270" w:rsidRDefault="00D57270" w:rsidP="00D053AC">
      <w:pPr>
        <w:spacing w:before="120" w:after="120"/>
        <w:ind w:firstLine="709"/>
        <w:rPr>
          <w:b/>
        </w:rPr>
      </w:pPr>
      <w:r>
        <w:t>17 One of the experts shall complete the Consolidated Evaluation in accordance with Annex 8 to the Regulations “Form for Individual/Consolidated Evaluation of the Project Proposal Expert Evaluation” in the Information System, following the conditions under Paragraphs 6 to 13 of the Methodology. All experts (unless the exception referred to in Paragraph 42 of the Regulations applies) shall validate the Consolidated Evaluation in the Information System within two weeks after the validation of the last Individual Evaluation in the Information System.</w:t>
      </w:r>
    </w:p>
    <w:p w14:paraId="289825D6" w14:textId="23193CB2" w:rsidR="00D57270" w:rsidRPr="00D57270" w:rsidRDefault="00D57270" w:rsidP="00D57270">
      <w:pPr>
        <w:ind w:firstLine="709"/>
      </w:pPr>
      <w:r>
        <w:lastRenderedPageBreak/>
        <w:t>18 The Consolidated Evaluation is the agreement between all experts (unless the exception referred to in Paragraph 41 of the Regulations applies) on the Final Evaluation of the Project Proposal, so that the expert preparing the Consolidated Evaluation would consult with other experts on the following matters:</w:t>
      </w:r>
    </w:p>
    <w:p w14:paraId="6FF05469" w14:textId="77777777" w:rsidR="00D57270" w:rsidRPr="00D57270" w:rsidRDefault="00D57270" w:rsidP="00D57270">
      <w:pPr>
        <w:ind w:firstLine="709"/>
      </w:pPr>
      <w:r>
        <w:t>18.1 score of each criterion in points;</w:t>
      </w:r>
    </w:p>
    <w:p w14:paraId="71E33FE5" w14:textId="77777777" w:rsidR="00D57270" w:rsidRPr="00D57270" w:rsidRDefault="00D57270" w:rsidP="00D57270">
      <w:pPr>
        <w:ind w:firstLine="709"/>
      </w:pPr>
      <w:r>
        <w:t>18.2 scientifically reasoned justification for the scores of each criterion, compiled from the justifications provided by all the experts in their individual evaluations.</w:t>
      </w:r>
    </w:p>
    <w:p w14:paraId="31872C5B" w14:textId="6BA3283C" w:rsidR="00D57270" w:rsidRPr="00D57270" w:rsidRDefault="00D57270" w:rsidP="00D053AC">
      <w:pPr>
        <w:spacing w:before="120" w:after="120"/>
        <w:ind w:firstLine="709"/>
      </w:pPr>
      <w:r>
        <w:t>19 The Council shall examine the Consolidated Evaluation referred to in Paragraph 17 of the Methodology once it has been validated in the Information System. If the Council (without interference in the expert competence) establishes any inconsistencies with the Methodology or the Regulations for the Open Call, it has the right to return the Consolidated Evaluation to the experts for revision and validation.</w:t>
      </w:r>
    </w:p>
    <w:p w14:paraId="632D543C" w14:textId="4C89C55E" w:rsidR="00D57270" w:rsidRPr="00D57270" w:rsidRDefault="00D57270" w:rsidP="00D053AC">
      <w:pPr>
        <w:spacing w:before="120" w:after="120"/>
        <w:ind w:firstLine="709"/>
      </w:pPr>
      <w:r>
        <w:t>20 In the event of a repeated return of the Consolidated Evaluation, the experts must revise and agree on the Consolidated Evaluation within three working days, validating it in the Information System in accordance with Paragraphs 17 and 18 of the Methodology.</w:t>
      </w:r>
    </w:p>
    <w:p w14:paraId="5A96247F" w14:textId="55DFA43A" w:rsidR="00EE5F77" w:rsidRPr="006601B1" w:rsidRDefault="006E2F6D" w:rsidP="00D053AC">
      <w:pPr>
        <w:pStyle w:val="Heading1"/>
      </w:pPr>
      <w:bookmarkStart w:id="10" w:name="_Toc503263857"/>
      <w:bookmarkStart w:id="11" w:name="_Toc513469513"/>
      <w:bookmarkStart w:id="12" w:name="_Toc143245578"/>
      <w:r>
        <w:t xml:space="preserve">3 </w:t>
      </w:r>
      <w:bookmarkEnd w:id="10"/>
      <w:r>
        <w:t xml:space="preserve">Scientific Expert Evaluation of the Mid-term and Final Scientific </w:t>
      </w:r>
      <w:bookmarkEnd w:id="11"/>
      <w:r>
        <w:t>Reports of the Project</w:t>
      </w:r>
      <w:bookmarkEnd w:id="12"/>
    </w:p>
    <w:p w14:paraId="1BD43C4B" w14:textId="71026781" w:rsidR="00534EBC" w:rsidRPr="006601B1" w:rsidRDefault="000247C5" w:rsidP="00D053AC">
      <w:pPr>
        <w:spacing w:before="120" w:after="120"/>
        <w:ind w:firstLine="357"/>
      </w:pPr>
      <w:r>
        <w:t xml:space="preserve">21 Prior to the evaluation </w:t>
      </w:r>
      <w:sdt>
        <w:sdtPr>
          <w:id w:val="-940218542"/>
          <w:placeholder>
            <w:docPart w:val="DefaultPlaceholder_-1854013440"/>
          </w:placeholder>
        </w:sdtPr>
        <w:sdtContent>
          <w:r>
            <w:t>of the mid-term or</w:t>
          </w:r>
        </w:sdtContent>
      </w:sdt>
      <w:r>
        <w:t xml:space="preserve"> final scientific report in the Information System, the expert shall declare that he or she has no conflict of interest and undertake to respect the confidentiality requirements by signing and sending to the Council the Declaration of the Expert and by concluding the Scientific Evaluation Contract with the Council.</w:t>
      </w:r>
    </w:p>
    <w:p w14:paraId="528307AD" w14:textId="39124C7F" w:rsidR="00534EBC" w:rsidRPr="006601B1" w:rsidRDefault="00D07C24" w:rsidP="00D053AC">
      <w:pPr>
        <w:spacing w:before="120" w:after="120"/>
        <w:ind w:firstLine="357"/>
      </w:pPr>
      <w:r>
        <w:t xml:space="preserve">22 The Council shall, upon receipt of the Declaration of the Expert, give the expert access </w:t>
      </w:r>
      <w:sdt>
        <w:sdtPr>
          <w:id w:val="-379702491"/>
          <w:placeholder>
            <w:docPart w:val="DefaultPlaceholder_-1854013440"/>
          </w:placeholder>
        </w:sdtPr>
        <w:sdtContent>
          <w:r>
            <w:t>to the mid-term or</w:t>
          </w:r>
        </w:sdtContent>
      </w:sdt>
      <w:r>
        <w:t xml:space="preserve"> final scientific report of the project and to all the information necessary for the evaluation thereof.</w:t>
      </w:r>
    </w:p>
    <w:p w14:paraId="5EA94150" w14:textId="19BF3BEE" w:rsidR="00111C85" w:rsidRPr="006601B1" w:rsidRDefault="00D07C24" w:rsidP="00D053AC">
      <w:pPr>
        <w:spacing w:before="120" w:after="120"/>
        <w:ind w:firstLine="357"/>
      </w:pPr>
      <w:r>
        <w:t xml:space="preserve">23 The Council shall provide each expert with access to </w:t>
      </w:r>
      <w:sdt>
        <w:sdtPr>
          <w:id w:val="1068539031"/>
          <w:placeholder>
            <w:docPart w:val="DefaultPlaceholder_-1854013440"/>
          </w:placeholder>
        </w:sdtPr>
        <w:sdtContent>
          <w:r>
            <w:t>the mid-term or</w:t>
          </w:r>
        </w:sdtContent>
      </w:sdt>
      <w:r>
        <w:t xml:space="preserve"> final scientific report and to the application for the same project. </w:t>
      </w:r>
      <w:sdt>
        <w:sdtPr>
          <w:id w:val="-524027250"/>
          <w:placeholder>
            <w:docPart w:val="DefaultPlaceholder_-1854013440"/>
          </w:placeholder>
        </w:sdtPr>
        <w:sdtContent>
          <w:r>
            <w:t>If a final report of the project is being evaluated, the Council shall additionally provide the expert with access to the mid-term report of the same project.</w:t>
          </w:r>
        </w:sdtContent>
      </w:sdt>
    </w:p>
    <w:p w14:paraId="7667CD38" w14:textId="1F0D1E7A" w:rsidR="00534EBC" w:rsidRDefault="00D07C24" w:rsidP="00D053AC">
      <w:pPr>
        <w:spacing w:before="120" w:after="120"/>
        <w:ind w:firstLine="357"/>
      </w:pPr>
      <w:r>
        <w:t xml:space="preserve">24 The expert shall evaluate </w:t>
      </w:r>
      <w:sdt>
        <w:sdtPr>
          <w:id w:val="322623064"/>
          <w:placeholder>
            <w:docPart w:val="DefaultPlaceholder_-1854013440"/>
          </w:placeholder>
        </w:sdtPr>
        <w:sdtContent>
          <w:r>
            <w:t>the mid-term or</w:t>
          </w:r>
        </w:sdtContent>
      </w:sdt>
      <w:r>
        <w:t xml:space="preserve"> final scientific report of the project by applying his or her competence and professional experience in scientific evaluation of projects in the relevant field of science and by providing scientific justification for his or her opinion.</w:t>
      </w:r>
    </w:p>
    <w:p w14:paraId="7BAAA95E" w14:textId="74DAE427" w:rsidR="00EE5F77" w:rsidRPr="006601B1" w:rsidRDefault="006E2F6D" w:rsidP="005339EC">
      <w:pPr>
        <w:pStyle w:val="Heading2"/>
      </w:pPr>
      <w:bookmarkStart w:id="13" w:name="_Toc513469514"/>
      <w:bookmarkStart w:id="14" w:name="_Toc143245579"/>
      <w:r>
        <w:t>3.1 Individual Evaluation of the Mid-term and Final Scientific Reports of the Project</w:t>
      </w:r>
      <w:bookmarkEnd w:id="13"/>
      <w:bookmarkEnd w:id="14"/>
    </w:p>
    <w:p w14:paraId="5D308324" w14:textId="771139FE" w:rsidR="00EE5F77" w:rsidRPr="006601B1" w:rsidRDefault="004A1311" w:rsidP="00D053AC">
      <w:pPr>
        <w:spacing w:before="120" w:after="120"/>
        <w:ind w:firstLine="567"/>
      </w:pPr>
      <w:r>
        <w:t xml:space="preserve">25 Within two weeks following the date of concluding the Service Contract for Scientific Evaluation with the Council, the expert shall carry out an individual evaluation of </w:t>
      </w:r>
      <w:sdt>
        <w:sdtPr>
          <w:id w:val="959153321"/>
          <w:placeholder>
            <w:docPart w:val="DefaultPlaceholder_-1854013440"/>
          </w:placeholder>
        </w:sdtPr>
        <w:sdtContent>
          <w:r>
            <w:t>the mid-term or</w:t>
          </w:r>
        </w:sdtContent>
      </w:sdt>
      <w:r>
        <w:t xml:space="preserve"> the final scientific report by completing Annex 12 to the Regulations “Individual/Consolidated Evaluation of the </w:t>
      </w:r>
      <w:sdt>
        <w:sdtPr>
          <w:id w:val="-4065078"/>
          <w:placeholder>
            <w:docPart w:val="DefaultPlaceholder_-1854013440"/>
          </w:placeholder>
        </w:sdtPr>
        <w:sdtContent>
          <w:r>
            <w:t>Mid-term/</w:t>
          </w:r>
        </w:sdtContent>
      </w:sdt>
      <w:r>
        <w:t>/Final Scientific Report” in the Information System and validation thereof in the Information System.</w:t>
      </w:r>
    </w:p>
    <w:p w14:paraId="6A417F9A" w14:textId="3FBCFE58" w:rsidR="00377EC2" w:rsidRPr="006601B1" w:rsidRDefault="004A1311" w:rsidP="006E1744">
      <w:pPr>
        <w:ind w:firstLine="360"/>
      </w:pPr>
      <w:r>
        <w:t>26 The expert shall award one of two scores to the mid-term scientific report:</w:t>
      </w:r>
    </w:p>
    <w:p w14:paraId="6DC9234A" w14:textId="627C70ED" w:rsidR="00377EC2" w:rsidRPr="006601B1" w:rsidRDefault="004A1311" w:rsidP="006E1744">
      <w:pPr>
        <w:ind w:left="720" w:hanging="360"/>
      </w:pPr>
      <w:r>
        <w:t>26.1 proceed with the project;</w:t>
      </w:r>
    </w:p>
    <w:p w14:paraId="585BC0BF" w14:textId="6E6CE568" w:rsidR="00377EC2" w:rsidRPr="006601B1" w:rsidRDefault="004A1311" w:rsidP="006E1744">
      <w:pPr>
        <w:ind w:left="720" w:hanging="360"/>
      </w:pPr>
      <w:r>
        <w:t>26.2 do not to proceed with the project.</w:t>
      </w:r>
    </w:p>
    <w:p w14:paraId="0086D97C" w14:textId="228EEDF9" w:rsidR="00377EC2" w:rsidRPr="006601B1" w:rsidRDefault="00D73F42" w:rsidP="00D053AC">
      <w:pPr>
        <w:spacing w:before="120"/>
        <w:ind w:left="714" w:hanging="357"/>
      </w:pPr>
      <w:r>
        <w:t>27 The expert shall award one of two scores to the final scientific report:</w:t>
      </w:r>
    </w:p>
    <w:p w14:paraId="505217D4" w14:textId="668E057F" w:rsidR="00377EC2" w:rsidRPr="006601B1" w:rsidRDefault="00694E2F" w:rsidP="006E1744">
      <w:pPr>
        <w:ind w:left="720" w:hanging="360"/>
      </w:pPr>
      <w:r>
        <w:t>27.1 project objective has been achieved;</w:t>
      </w:r>
    </w:p>
    <w:p w14:paraId="7868F92E" w14:textId="50C0D48B" w:rsidR="00377EC2" w:rsidRPr="006601B1" w:rsidRDefault="00694E2F" w:rsidP="00D053AC">
      <w:pPr>
        <w:spacing w:after="120"/>
        <w:ind w:left="714" w:hanging="357"/>
      </w:pPr>
      <w:r>
        <w:t>27.2 project objective has not been achieved.</w:t>
      </w:r>
    </w:p>
    <w:tbl>
      <w:tblPr>
        <w:tblStyle w:val="TableGrid"/>
        <w:tblW w:w="9923" w:type="dxa"/>
        <w:tblInd w:w="-5" w:type="dxa"/>
        <w:tblLook w:val="04A0" w:firstRow="1" w:lastRow="0" w:firstColumn="1" w:lastColumn="0" w:noHBand="0" w:noVBand="1"/>
      </w:tblPr>
      <w:tblGrid>
        <w:gridCol w:w="709"/>
        <w:gridCol w:w="3402"/>
        <w:gridCol w:w="5812"/>
      </w:tblGrid>
      <w:tr w:rsidR="004D61A7" w:rsidRPr="00804C72" w14:paraId="736E07C0" w14:textId="77777777" w:rsidTr="00DF6D8F">
        <w:tc>
          <w:tcPr>
            <w:tcW w:w="9923" w:type="dxa"/>
            <w:gridSpan w:val="3"/>
          </w:tcPr>
          <w:p w14:paraId="30F2F356" w14:textId="353CF6C0" w:rsidR="00EE5F77" w:rsidRPr="006601B1" w:rsidRDefault="00056A15" w:rsidP="00410212">
            <w:pPr>
              <w:jc w:val="center"/>
              <w:rPr>
                <w:b/>
              </w:rPr>
            </w:pPr>
            <w:r>
              <w:rPr>
                <w:b/>
                <w:bCs/>
              </w:rPr>
              <w:t xml:space="preserve">Individual/Consolidated Evaluation of the </w:t>
            </w:r>
            <w:sdt>
              <w:sdtPr>
                <w:rPr>
                  <w:b/>
                </w:rPr>
                <w:id w:val="1617871538"/>
                <w:placeholder>
                  <w:docPart w:val="DefaultPlaceholder_-1854013440"/>
                </w:placeholder>
              </w:sdtPr>
              <w:sdtContent>
                <w:r>
                  <w:rPr>
                    <w:b/>
                    <w:bCs/>
                  </w:rPr>
                  <w:t>Mid-term/</w:t>
                </w:r>
              </w:sdtContent>
            </w:sdt>
            <w:r>
              <w:rPr>
                <w:b/>
                <w:bCs/>
              </w:rPr>
              <w:t>Final Scientific Reports of the Project</w:t>
            </w:r>
          </w:p>
        </w:tc>
      </w:tr>
      <w:tr w:rsidR="004D61A7" w:rsidRPr="006601B1" w14:paraId="0570F1D2" w14:textId="77777777" w:rsidTr="00DF6D8F">
        <w:tc>
          <w:tcPr>
            <w:tcW w:w="9923" w:type="dxa"/>
            <w:gridSpan w:val="3"/>
          </w:tcPr>
          <w:p w14:paraId="5F2C44F6" w14:textId="77777777" w:rsidR="00EE5F77" w:rsidRPr="006601B1" w:rsidRDefault="00EE5F77" w:rsidP="00D053AC">
            <w:pPr>
              <w:spacing w:before="120" w:after="120"/>
            </w:pPr>
            <w:r>
              <w:t>Project title:</w:t>
            </w:r>
          </w:p>
          <w:p w14:paraId="405E8714" w14:textId="7318C94E" w:rsidR="00EE5F77" w:rsidRPr="006601B1" w:rsidRDefault="00EE5F77" w:rsidP="00D053AC">
            <w:pPr>
              <w:spacing w:before="120" w:after="120"/>
            </w:pPr>
            <w:r>
              <w:t>Expert(s):</w:t>
            </w:r>
          </w:p>
        </w:tc>
      </w:tr>
      <w:tr w:rsidR="004D61A7" w:rsidRPr="006601B1" w14:paraId="45651D3C" w14:textId="77777777" w:rsidTr="00DF6D8F">
        <w:tc>
          <w:tcPr>
            <w:tcW w:w="709" w:type="dxa"/>
            <w:vMerge w:val="restart"/>
          </w:tcPr>
          <w:p w14:paraId="58F9B9D0" w14:textId="77777777" w:rsidR="00EE5F77" w:rsidRPr="006601B1" w:rsidRDefault="00EE5F77" w:rsidP="00410212">
            <w:pPr>
              <w:rPr>
                <w:b/>
              </w:rPr>
            </w:pPr>
            <w:r>
              <w:rPr>
                <w:b/>
              </w:rPr>
              <w:lastRenderedPageBreak/>
              <w:t>1</w:t>
            </w:r>
          </w:p>
        </w:tc>
        <w:tc>
          <w:tcPr>
            <w:tcW w:w="9214" w:type="dxa"/>
            <w:gridSpan w:val="2"/>
          </w:tcPr>
          <w:p w14:paraId="7F5A4710" w14:textId="79A2CBC0" w:rsidR="00EE5F77" w:rsidRPr="006601B1" w:rsidRDefault="00056A15" w:rsidP="00410212">
            <w:pPr>
              <w:jc w:val="center"/>
              <w:rPr>
                <w:b/>
              </w:rPr>
            </w:pPr>
            <w:r>
              <w:rPr>
                <w:b/>
              </w:rPr>
              <w:t>Criterion: Scientific Quality of the Project</w:t>
            </w:r>
          </w:p>
        </w:tc>
      </w:tr>
      <w:tr w:rsidR="004D61A7" w:rsidRPr="00804C72" w14:paraId="2E9825D4" w14:textId="77777777" w:rsidTr="00DF6D8F">
        <w:trPr>
          <w:trHeight w:val="1003"/>
        </w:trPr>
        <w:tc>
          <w:tcPr>
            <w:tcW w:w="709" w:type="dxa"/>
            <w:vMerge/>
          </w:tcPr>
          <w:p w14:paraId="531F5A57" w14:textId="77777777" w:rsidR="00EE5F77" w:rsidRPr="006601B1" w:rsidRDefault="00EE5F77" w:rsidP="00410212">
            <w:pPr>
              <w:rPr>
                <w:b/>
                <w:lang w:val="lv-LV"/>
              </w:rPr>
            </w:pPr>
          </w:p>
        </w:tc>
        <w:tc>
          <w:tcPr>
            <w:tcW w:w="9214" w:type="dxa"/>
            <w:gridSpan w:val="2"/>
          </w:tcPr>
          <w:p w14:paraId="20AC5E79" w14:textId="4F423953" w:rsidR="001836D4" w:rsidRPr="006601B1" w:rsidRDefault="001836D4" w:rsidP="001836D4">
            <w:pPr>
              <w:rPr>
                <w:i/>
              </w:rPr>
            </w:pPr>
            <w:r>
              <w:rPr>
                <w:i/>
                <w:iCs/>
              </w:rPr>
              <w:t xml:space="preserve">The expert shall evaluate how the scientific group of the project has achieved the objectives of the Project Proposal up to the moment of delivery of the </w:t>
            </w:r>
            <w:sdt>
              <w:sdtPr>
                <w:rPr>
                  <w:i/>
                </w:rPr>
                <w:id w:val="620894921"/>
                <w:placeholder>
                  <w:docPart w:val="DefaultPlaceholder_-1854013440"/>
                </w:placeholder>
              </w:sdtPr>
              <w:sdtContent>
                <w:r>
                  <w:rPr>
                    <w:i/>
                    <w:iCs/>
                  </w:rPr>
                  <w:t>mid-term/</w:t>
                </w:r>
              </w:sdtContent>
            </w:sdt>
            <w:r>
              <w:rPr>
                <w:i/>
                <w:iCs/>
              </w:rPr>
              <w:t>final report.</w:t>
            </w:r>
            <w:r>
              <w:rPr>
                <w:i/>
              </w:rPr>
              <w:t xml:space="preserve"> </w:t>
            </w:r>
            <w:r>
              <w:rPr>
                <w:i/>
                <w:iCs/>
              </w:rPr>
              <w:t xml:space="preserve">Basically, Chapter 1 “Scientific Excellence” of the </w:t>
            </w:r>
            <w:sdt>
              <w:sdtPr>
                <w:rPr>
                  <w:i/>
                </w:rPr>
                <w:id w:val="1119333632"/>
                <w:placeholder>
                  <w:docPart w:val="DefaultPlaceholder_-1854013440"/>
                </w:placeholder>
              </w:sdtPr>
              <w:sdtContent>
                <w:r>
                  <w:rPr>
                    <w:i/>
                    <w:iCs/>
                  </w:rPr>
                  <w:t>mid-term/</w:t>
                </w:r>
              </w:sdtContent>
            </w:sdt>
            <w:r>
              <w:rPr>
                <w:i/>
                <w:iCs/>
              </w:rPr>
              <w:t xml:space="preserve">final scientific report shall be </w:t>
            </w:r>
            <w:proofErr w:type="gramStart"/>
            <w:r>
              <w:rPr>
                <w:i/>
                <w:iCs/>
              </w:rPr>
              <w:t>taken into account</w:t>
            </w:r>
            <w:proofErr w:type="gramEnd"/>
            <w:r>
              <w:rPr>
                <w:i/>
                <w:iCs/>
              </w:rPr>
              <w:t xml:space="preserve">, while linking it to the </w:t>
            </w:r>
            <w:sdt>
              <w:sdtPr>
                <w:rPr>
                  <w:i/>
                </w:rPr>
                <w:id w:val="-115689405"/>
                <w:placeholder>
                  <w:docPart w:val="DefaultPlaceholder_-1854013440"/>
                </w:placeholder>
              </w:sdtPr>
              <w:sdtContent>
                <w:r>
                  <w:rPr>
                    <w:i/>
                    <w:iCs/>
                  </w:rPr>
                  <w:t>mid-term/</w:t>
                </w:r>
              </w:sdtContent>
            </w:sdt>
            <w:r>
              <w:rPr>
                <w:i/>
                <w:iCs/>
              </w:rPr>
              <w:t>final scientific report as a whole and to the Project Proposal.</w:t>
            </w:r>
            <w:r>
              <w:rPr>
                <w:i/>
              </w:rPr>
              <w:t xml:space="preserve"> Here, the expert shall provide comments and suggestions to fully achieve the objective of the project and perform the tasks to the highest scientific quality, or on research opportunities after the end of the project </w:t>
            </w:r>
            <w:proofErr w:type="gramStart"/>
            <w:r>
              <w:rPr>
                <w:i/>
              </w:rPr>
              <w:t>in order to</w:t>
            </w:r>
            <w:proofErr w:type="gramEnd"/>
            <w:r>
              <w:rPr>
                <w:i/>
              </w:rPr>
              <w:t xml:space="preserve"> achieve scientific excellence. The relevant Programme-specific tasks and planned results shall be </w:t>
            </w:r>
            <w:proofErr w:type="gramStart"/>
            <w:r>
              <w:rPr>
                <w:i/>
              </w:rPr>
              <w:t>taken into account</w:t>
            </w:r>
            <w:proofErr w:type="gramEnd"/>
            <w:r>
              <w:rPr>
                <w:i/>
              </w:rPr>
              <w:t xml:space="preserve"> when providing comments and it shall be also evaluated whether the project is progressing towards the achievement of the objective of the Programme.</w:t>
            </w:r>
          </w:p>
          <w:p w14:paraId="5D52050A" w14:textId="3A9DF3E7" w:rsidR="00EE5F77" w:rsidRPr="006601B1" w:rsidRDefault="001836D4" w:rsidP="001836D4">
            <w:r>
              <w:rPr>
                <w:i/>
              </w:rPr>
              <w:t xml:space="preserve">The expert shall evaluate whether the results achieved by the scientific group of the project in the relevant </w:t>
            </w:r>
            <w:proofErr w:type="gramStart"/>
            <w:r>
              <w:rPr>
                <w:i/>
              </w:rPr>
              <w:t>time period</w:t>
            </w:r>
            <w:proofErr w:type="gramEnd"/>
            <w:r>
              <w:rPr>
                <w:i/>
              </w:rPr>
              <w:t xml:space="preserve"> reflect the high research capacity thereof and whether the results described are sufficient for supplementing the knowledge base of the field(s) of science.</w:t>
            </w:r>
          </w:p>
        </w:tc>
      </w:tr>
      <w:tr w:rsidR="004D61A7" w:rsidRPr="006601B1" w14:paraId="01942B65" w14:textId="77777777" w:rsidTr="00DF6D8F">
        <w:tc>
          <w:tcPr>
            <w:tcW w:w="709" w:type="dxa"/>
            <w:vMerge w:val="restart"/>
          </w:tcPr>
          <w:p w14:paraId="1DEFFDA6" w14:textId="77777777" w:rsidR="00EE5F77" w:rsidRPr="006601B1" w:rsidRDefault="00EE5F77" w:rsidP="00410212">
            <w:pPr>
              <w:rPr>
                <w:b/>
              </w:rPr>
            </w:pPr>
            <w:r>
              <w:rPr>
                <w:b/>
              </w:rPr>
              <w:t>2</w:t>
            </w:r>
          </w:p>
        </w:tc>
        <w:tc>
          <w:tcPr>
            <w:tcW w:w="9214" w:type="dxa"/>
            <w:gridSpan w:val="2"/>
          </w:tcPr>
          <w:p w14:paraId="1AE295A9" w14:textId="70A5CDDD" w:rsidR="00EE5F77" w:rsidRPr="006601B1" w:rsidRDefault="005314DB" w:rsidP="00410212">
            <w:pPr>
              <w:jc w:val="center"/>
              <w:rPr>
                <w:b/>
              </w:rPr>
            </w:pPr>
            <w:r>
              <w:rPr>
                <w:b/>
              </w:rPr>
              <w:t>Criterion: Impact of Project Results</w:t>
            </w:r>
          </w:p>
        </w:tc>
      </w:tr>
      <w:tr w:rsidR="004D61A7" w:rsidRPr="00804C72" w14:paraId="12F45B4A" w14:textId="77777777" w:rsidTr="00DF6D8F">
        <w:trPr>
          <w:trHeight w:val="557"/>
        </w:trPr>
        <w:tc>
          <w:tcPr>
            <w:tcW w:w="709" w:type="dxa"/>
            <w:vMerge/>
          </w:tcPr>
          <w:p w14:paraId="2C51819B" w14:textId="77777777" w:rsidR="00EE5F77" w:rsidRPr="006601B1" w:rsidRDefault="00EE5F77" w:rsidP="00410212">
            <w:pPr>
              <w:rPr>
                <w:b/>
                <w:lang w:val="lv-LV"/>
              </w:rPr>
            </w:pPr>
          </w:p>
        </w:tc>
        <w:tc>
          <w:tcPr>
            <w:tcW w:w="9214" w:type="dxa"/>
            <w:gridSpan w:val="2"/>
          </w:tcPr>
          <w:p w14:paraId="44118011" w14:textId="75F0107B" w:rsidR="00EE5F77" w:rsidRPr="00A93989" w:rsidRDefault="001836D4" w:rsidP="00656870">
            <w:pPr>
              <w:rPr>
                <w:i/>
              </w:rPr>
            </w:pPr>
            <w:r>
              <w:rPr>
                <w:i/>
                <w:iCs/>
              </w:rPr>
              <w:t xml:space="preserve">The expert shall evaluate how the scientific group of the project has achieved the objectives of the Project Proposal up to the moment of delivery of the </w:t>
            </w:r>
            <w:sdt>
              <w:sdtPr>
                <w:rPr>
                  <w:i/>
                </w:rPr>
                <w:id w:val="-2027316429"/>
                <w:placeholder>
                  <w:docPart w:val="DefaultPlaceholder_-1854013440"/>
                </w:placeholder>
              </w:sdtPr>
              <w:sdtContent>
                <w:r>
                  <w:rPr>
                    <w:i/>
                    <w:iCs/>
                  </w:rPr>
                  <w:t>mid-term/</w:t>
                </w:r>
              </w:sdtContent>
            </w:sdt>
            <w:r>
              <w:rPr>
                <w:i/>
                <w:iCs/>
              </w:rPr>
              <w:t>final report.</w:t>
            </w:r>
            <w:r>
              <w:rPr>
                <w:i/>
              </w:rPr>
              <w:t xml:space="preserve"> </w:t>
            </w:r>
            <w:r>
              <w:rPr>
                <w:i/>
                <w:iCs/>
              </w:rPr>
              <w:t xml:space="preserve">Basically, Chapter 2 “Impact” of the </w:t>
            </w:r>
            <w:sdt>
              <w:sdtPr>
                <w:rPr>
                  <w:i/>
                </w:rPr>
                <w:id w:val="-1826971244"/>
                <w:placeholder>
                  <w:docPart w:val="DefaultPlaceholder_-1854013440"/>
                </w:placeholder>
              </w:sdtPr>
              <w:sdtContent>
                <w:r>
                  <w:rPr>
                    <w:i/>
                    <w:iCs/>
                  </w:rPr>
                  <w:t>mid-term/</w:t>
                </w:r>
              </w:sdtContent>
            </w:sdt>
            <w:r>
              <w:rPr>
                <w:i/>
                <w:iCs/>
              </w:rPr>
              <w:t xml:space="preserve">final scientific report shall be </w:t>
            </w:r>
            <w:proofErr w:type="gramStart"/>
            <w:r>
              <w:rPr>
                <w:i/>
                <w:iCs/>
              </w:rPr>
              <w:t>taken into account</w:t>
            </w:r>
            <w:proofErr w:type="gramEnd"/>
            <w:r>
              <w:rPr>
                <w:i/>
                <w:iCs/>
              </w:rPr>
              <w:t xml:space="preserve">, while linking it to the </w:t>
            </w:r>
            <w:sdt>
              <w:sdtPr>
                <w:rPr>
                  <w:i/>
                </w:rPr>
                <w:id w:val="-1336301917"/>
                <w:placeholder>
                  <w:docPart w:val="DefaultPlaceholder_-1854013440"/>
                </w:placeholder>
              </w:sdtPr>
              <w:sdtContent>
                <w:r>
                  <w:rPr>
                    <w:i/>
                    <w:iCs/>
                  </w:rPr>
                  <w:t>mid-term/</w:t>
                </w:r>
              </w:sdtContent>
            </w:sdt>
            <w:r>
              <w:rPr>
                <w:i/>
                <w:iCs/>
              </w:rPr>
              <w:t>final scientific report as a whole and to the Project Proposal.</w:t>
            </w:r>
            <w:r>
              <w:rPr>
                <w:i/>
              </w:rPr>
              <w:t xml:space="preserve"> In this section, the expert shall provide comments and suggestions to fully achieve the intended impact and ensure the dissemination of the knowledge gained to the scientific community and communication to the public at large, or for post-project activities.</w:t>
            </w:r>
          </w:p>
          <w:p w14:paraId="1E101685" w14:textId="0CE518B4" w:rsidR="007E1A50" w:rsidRPr="00A93989" w:rsidRDefault="007E1A50" w:rsidP="007E1A50">
            <w:pPr>
              <w:rPr>
                <w:i/>
                <w:iCs/>
              </w:rPr>
            </w:pPr>
            <w:r>
              <w:rPr>
                <w:i/>
                <w:iCs/>
              </w:rPr>
              <w:t xml:space="preserve">The expert shall evaluate whether the fields of food self-sufficiency and adaptive forest management in Latvia and the scientific community had become more internationally competitive </w:t>
            </w:r>
            <w:proofErr w:type="gramStart"/>
            <w:r>
              <w:rPr>
                <w:i/>
                <w:iCs/>
              </w:rPr>
              <w:t>as a result of</w:t>
            </w:r>
            <w:proofErr w:type="gramEnd"/>
            <w:r>
              <w:rPr>
                <w:i/>
                <w:iCs/>
              </w:rPr>
              <w:t xml:space="preserve"> the project, and if its capacity has increased.</w:t>
            </w:r>
          </w:p>
          <w:p w14:paraId="7FFD1684" w14:textId="6EE4E519" w:rsidR="008337F0" w:rsidRPr="00A93989" w:rsidRDefault="002C059E" w:rsidP="008337F0">
            <w:r>
              <w:rPr>
                <w:i/>
              </w:rPr>
              <w:t>The expert shall evaluate how the project implementer has selected the target groups of the project, whether their opinions have been sought in a quality way and whether the activities have been effective for informing of the public. The expert shall also evaluate cooperation with public institutions, NGOs, and entrepreneurs (e.g., provision of recommendations, participation in policy planning, etc.).</w:t>
            </w:r>
            <w:r>
              <w:t xml:space="preserve"> </w:t>
            </w:r>
          </w:p>
          <w:p w14:paraId="36C1B2C4" w14:textId="3EF5AE52" w:rsidR="007E1A50" w:rsidRPr="00A93989" w:rsidRDefault="007E1A50" w:rsidP="007E1A50">
            <w:pPr>
              <w:rPr>
                <w:i/>
                <w:iCs/>
              </w:rPr>
            </w:pPr>
            <w:r>
              <w:rPr>
                <w:i/>
              </w:rPr>
              <w:t>The expert shall provide evaluation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i.e., findable, accessible, interoperable, reusable.</w:t>
            </w:r>
          </w:p>
          <w:p w14:paraId="36AB8D4A" w14:textId="77777777" w:rsidR="007E1A50" w:rsidRPr="00A93989" w:rsidRDefault="007E1A50" w:rsidP="007E1A50">
            <w:pPr>
              <w:rPr>
                <w:i/>
                <w:iCs/>
              </w:rPr>
            </w:pPr>
            <w:r>
              <w:rPr>
                <w:i/>
              </w:rPr>
              <w:t xml:space="preserve">The expert shall also evaluate the capacity building activities of the project implementer for students and the scientific group </w:t>
            </w:r>
            <w:proofErr w:type="gramStart"/>
            <w:r>
              <w:rPr>
                <w:i/>
              </w:rPr>
              <w:t>and also</w:t>
            </w:r>
            <w:proofErr w:type="gramEnd"/>
            <w:r>
              <w:rPr>
                <w:i/>
              </w:rPr>
              <w:t xml:space="preserve"> the progress of the student involvement plan.</w:t>
            </w:r>
          </w:p>
          <w:p w14:paraId="02234898" w14:textId="29FF8541" w:rsidR="002E37A2" w:rsidRPr="00FC28A9" w:rsidRDefault="007664C1" w:rsidP="00005CEC">
            <w:pPr>
              <w:rPr>
                <w:i/>
                <w:highlight w:val="yellow"/>
              </w:rPr>
            </w:pPr>
            <w:r>
              <w:rPr>
                <w:i/>
              </w:rPr>
              <w:t>The expert shall assess the progress made in the implementation of the specific programme objective set out in Paragraph 5 of the Cabinet Order, which the applicant has chosen to implement:</w:t>
            </w:r>
          </w:p>
          <w:p w14:paraId="316F64B3" w14:textId="46A6D25A" w:rsidR="00702ACC" w:rsidRPr="00702ACC" w:rsidRDefault="00702ACC" w:rsidP="00702ACC">
            <w:pPr>
              <w:ind w:firstLine="720"/>
              <w:rPr>
                <w:i/>
                <w:iCs/>
                <w:shd w:val="clear" w:color="auto" w:fill="FFFFFF"/>
              </w:rPr>
            </w:pPr>
            <w:r>
              <w:rPr>
                <w:i/>
                <w:shd w:val="clear" w:color="auto" w:fill="FFFFFF"/>
              </w:rPr>
              <w:t xml:space="preserve">1 to strengthen Latvia's food self-sufficiency by developing a sustainable, competitive and crisis-resilient food system based on environmentally sound technologies, innovative solutions and access to safe food, including: a) developing sustainable and climate-resilient cultivation technologies for environmentally sound and economically viable arable and horticultural farming, contributing to limit the spread of chemical pollutants, including pesticide residues and natural plant toxins; b) developing new food products based on local agricultural raw materials, including fruits, vegetables and legumes, and fisheries raw materials, and new food products with high added value; c) strengthen Latvia's capacity to ensure an adequate supply of safe and healthy food by preventing or limiting the spread of infections and antimicrobial resistance in animals and the food chain in time of crises, thereby increasing the resilience of society and the food system; d) comprehensively analyse the economic performance and competitiveness of Latvian agriculture in order to strengthen the </w:t>
            </w:r>
            <w:r>
              <w:rPr>
                <w:i/>
                <w:shd w:val="clear" w:color="auto" w:fill="FFFFFF"/>
              </w:rPr>
              <w:lastRenderedPageBreak/>
              <w:t>sector's self-reliance and develop proposals to improve competitiveness, increase output and strengthen resilience in times of internal and external crises;</w:t>
            </w:r>
          </w:p>
          <w:p w14:paraId="6B209A2E" w14:textId="12BCE034" w:rsidR="00702ACC" w:rsidRPr="00702ACC" w:rsidRDefault="00702ACC" w:rsidP="00920044">
            <w:pPr>
              <w:ind w:firstLine="710"/>
              <w:rPr>
                <w:i/>
                <w:iCs/>
                <w:shd w:val="clear" w:color="auto" w:fill="FFFFFF"/>
              </w:rPr>
            </w:pPr>
            <w:r>
              <w:rPr>
                <w:i/>
                <w:shd w:val="clear" w:color="auto" w:fill="FFFFFF"/>
              </w:rPr>
              <w:t>2. To improve the long-term efficiency of the use of Latvia's forest resources, to promote the development of a bioeconomy based on them and competitive in the global market as a basis for the country's economic and energy security, including: a) to promote the resilience of forest ecosystems - to develop solutions for adaptation of tree stands suitable for different management objectives for forest owners, based on long-term assessments of progeny test plantations and other long-term research sites; b) to assess the key factors for improving integrated and sustainable forest management practices and strengthening economic security and to develop methods for their monitoring, including indicators of forest biodiversity in the Nature Restoration Regulation, as well as to prepare recommendations for the practical implementation of dynamic nature conservation and the safe harbour principle; c) to promote the contribution of the forest sector to climate change mitigation and circulation in the bio-economy, to determine the overall substitution effect provided by forest products and to promote the use of local forest resources for the production of competitive and sustainable products in line with the Green Deal.</w:t>
            </w:r>
          </w:p>
          <w:p w14:paraId="4F19C403" w14:textId="27CDD859" w:rsidR="0004241C" w:rsidRPr="00F828AE" w:rsidRDefault="00702ACC" w:rsidP="00702ACC">
            <w:pPr>
              <w:rPr>
                <w:i/>
              </w:rPr>
            </w:pPr>
            <w:r>
              <w:rPr>
                <w:i/>
              </w:rPr>
              <w:t>Achievable results:</w:t>
            </w:r>
          </w:p>
          <w:p w14:paraId="7175A0A8" w14:textId="2685F0E5" w:rsidR="00702ACC" w:rsidRPr="00702ACC" w:rsidRDefault="008E7390" w:rsidP="00702ACC">
            <w:pPr>
              <w:pStyle w:val="ListParagraph"/>
              <w:numPr>
                <w:ilvl w:val="0"/>
                <w:numId w:val="27"/>
              </w:numPr>
            </w:pPr>
            <w:r>
              <w:t>new technologies and products developed;</w:t>
            </w:r>
          </w:p>
          <w:p w14:paraId="6B73B2B4" w14:textId="4A8B0303" w:rsidR="00702ACC" w:rsidRPr="00702ACC" w:rsidRDefault="008E7390" w:rsidP="00702ACC">
            <w:pPr>
              <w:pStyle w:val="ListParagraph"/>
              <w:numPr>
                <w:ilvl w:val="0"/>
                <w:numId w:val="27"/>
              </w:numPr>
            </w:pPr>
            <w:r>
              <w:t>original research articles published in journals or conference proceedings listed in the Web of Science or SCOPUS (A or B) databases;</w:t>
            </w:r>
          </w:p>
          <w:p w14:paraId="77190B95" w14:textId="77777777" w:rsidR="008E7390" w:rsidRDefault="008E7390" w:rsidP="00702ACC">
            <w:pPr>
              <w:pStyle w:val="ListParagraph"/>
              <w:numPr>
                <w:ilvl w:val="0"/>
                <w:numId w:val="27"/>
              </w:numPr>
            </w:pPr>
            <w:r>
              <w:t>policy recommendations (e.g., sectoral policy makers consulted and specific recommendations and guidelines developed);</w:t>
            </w:r>
          </w:p>
          <w:p w14:paraId="0907FFFE" w14:textId="6DBE578E" w:rsidR="0004241C" w:rsidRPr="00702ACC" w:rsidRDefault="008E7390" w:rsidP="00702ACC">
            <w:pPr>
              <w:pStyle w:val="ListParagraph"/>
              <w:numPr>
                <w:ilvl w:val="0"/>
                <w:numId w:val="27"/>
              </w:numPr>
              <w:rPr>
                <w:u w:val="single"/>
              </w:rPr>
            </w:pPr>
            <w:r>
              <w:t>strengthening the education process by involving faculty in research and integrating research into the study process, especially at doctoral level, and by involving doctoral students, PhD candidates and young researchers in the projects implemented by the Programme.</w:t>
            </w:r>
          </w:p>
        </w:tc>
      </w:tr>
      <w:tr w:rsidR="004D61A7" w:rsidRPr="00804C72" w14:paraId="5CDD4E53" w14:textId="77777777" w:rsidTr="00DF6D8F">
        <w:tc>
          <w:tcPr>
            <w:tcW w:w="709" w:type="dxa"/>
            <w:vMerge w:val="restart"/>
          </w:tcPr>
          <w:p w14:paraId="435ED935" w14:textId="77777777" w:rsidR="00EE5F77" w:rsidRPr="006601B1" w:rsidRDefault="00EE5F77" w:rsidP="00410212">
            <w:pPr>
              <w:rPr>
                <w:b/>
              </w:rPr>
            </w:pPr>
            <w:r>
              <w:rPr>
                <w:b/>
              </w:rPr>
              <w:lastRenderedPageBreak/>
              <w:t>3</w:t>
            </w:r>
          </w:p>
        </w:tc>
        <w:tc>
          <w:tcPr>
            <w:tcW w:w="9214" w:type="dxa"/>
            <w:gridSpan w:val="2"/>
          </w:tcPr>
          <w:p w14:paraId="28BFB05B" w14:textId="3D659F37" w:rsidR="00EE5F77" w:rsidRPr="006601B1" w:rsidRDefault="005314DB" w:rsidP="00410212">
            <w:pPr>
              <w:jc w:val="center"/>
              <w:rPr>
                <w:b/>
              </w:rPr>
            </w:pPr>
            <w:r>
              <w:rPr>
                <w:b/>
              </w:rPr>
              <w:t>Criterion: Project Feasibility and Provisions</w:t>
            </w:r>
          </w:p>
        </w:tc>
      </w:tr>
      <w:tr w:rsidR="004D61A7" w:rsidRPr="00A57740" w14:paraId="79AC0C2E" w14:textId="77777777" w:rsidTr="00DF6D8F">
        <w:trPr>
          <w:trHeight w:val="1030"/>
        </w:trPr>
        <w:tc>
          <w:tcPr>
            <w:tcW w:w="709" w:type="dxa"/>
            <w:vMerge/>
          </w:tcPr>
          <w:p w14:paraId="3112B9FE" w14:textId="77777777" w:rsidR="00EE5F77" w:rsidRPr="006601B1" w:rsidRDefault="00EE5F77" w:rsidP="00410212">
            <w:pPr>
              <w:rPr>
                <w:b/>
                <w:lang w:val="lv-LV"/>
              </w:rPr>
            </w:pPr>
          </w:p>
        </w:tc>
        <w:tc>
          <w:tcPr>
            <w:tcW w:w="9214" w:type="dxa"/>
            <w:gridSpan w:val="2"/>
          </w:tcPr>
          <w:p w14:paraId="62FBA425" w14:textId="35D1222F" w:rsidR="001836D4" w:rsidRPr="006601B1" w:rsidRDefault="001836D4" w:rsidP="001836D4">
            <w:pPr>
              <w:rPr>
                <w:i/>
              </w:rPr>
            </w:pPr>
            <w:r>
              <w:rPr>
                <w:i/>
                <w:iCs/>
              </w:rPr>
              <w:t xml:space="preserve">The expert shall evaluate how the scientific group of the project has achieved the objectives of the Project Proposal up to the moment of delivery of the </w:t>
            </w:r>
            <w:sdt>
              <w:sdtPr>
                <w:rPr>
                  <w:i/>
                </w:rPr>
                <w:id w:val="-1765219462"/>
                <w:placeholder>
                  <w:docPart w:val="DefaultPlaceholder_-1854013440"/>
                </w:placeholder>
              </w:sdtPr>
              <w:sdtContent>
                <w:r>
                  <w:rPr>
                    <w:i/>
                    <w:iCs/>
                  </w:rPr>
                  <w:t>mid-term/</w:t>
                </w:r>
              </w:sdtContent>
            </w:sdt>
            <w:r>
              <w:rPr>
                <w:i/>
                <w:iCs/>
              </w:rPr>
              <w:t>final report.</w:t>
            </w:r>
            <w:r>
              <w:rPr>
                <w:i/>
              </w:rPr>
              <w:t xml:space="preserve"> </w:t>
            </w:r>
            <w:r>
              <w:rPr>
                <w:i/>
                <w:iCs/>
              </w:rPr>
              <w:t xml:space="preserve">Basically, Chapter 3 “Implementation” of the </w:t>
            </w:r>
            <w:sdt>
              <w:sdtPr>
                <w:rPr>
                  <w:i/>
                </w:rPr>
                <w:id w:val="-271165311"/>
                <w:placeholder>
                  <w:docPart w:val="DefaultPlaceholder_-1854013440"/>
                </w:placeholder>
              </w:sdtPr>
              <w:sdtContent>
                <w:r>
                  <w:rPr>
                    <w:i/>
                    <w:iCs/>
                  </w:rPr>
                  <w:t>mid-term/</w:t>
                </w:r>
              </w:sdtContent>
            </w:sdt>
            <w:r>
              <w:rPr>
                <w:i/>
                <w:iCs/>
              </w:rPr>
              <w:t xml:space="preserve">final scientific report shall be </w:t>
            </w:r>
            <w:proofErr w:type="gramStart"/>
            <w:r>
              <w:rPr>
                <w:i/>
                <w:iCs/>
              </w:rPr>
              <w:t>taken into account</w:t>
            </w:r>
            <w:proofErr w:type="gramEnd"/>
            <w:r>
              <w:rPr>
                <w:i/>
                <w:iCs/>
              </w:rPr>
              <w:t xml:space="preserve">, while linking it to the </w:t>
            </w:r>
            <w:sdt>
              <w:sdtPr>
                <w:rPr>
                  <w:i/>
                </w:rPr>
                <w:id w:val="-59793109"/>
                <w:placeholder>
                  <w:docPart w:val="DefaultPlaceholder_-1854013440"/>
                </w:placeholder>
              </w:sdtPr>
              <w:sdtContent>
                <w:r>
                  <w:rPr>
                    <w:i/>
                    <w:iCs/>
                  </w:rPr>
                  <w:t>mid-term/</w:t>
                </w:r>
              </w:sdtContent>
            </w:sdt>
            <w:r>
              <w:rPr>
                <w:i/>
                <w:iCs/>
              </w:rPr>
              <w:t>final scientific report and to the Project Proposal as a whole.</w:t>
            </w:r>
            <w:r>
              <w:rPr>
                <w:i/>
              </w:rPr>
              <w:t xml:space="preserve"> In this section, the expert shall provide comments and suggestions for adjustments (in the case of a mid-term report) to the work plan or research opportunities after the end of the relevant project.</w:t>
            </w:r>
          </w:p>
          <w:p w14:paraId="6AD51C1F" w14:textId="6864A1A3" w:rsidR="001836D4" w:rsidRPr="006601B1" w:rsidRDefault="001836D4" w:rsidP="001836D4">
            <w:pPr>
              <w:rPr>
                <w:i/>
              </w:rPr>
            </w:pPr>
            <w:r>
              <w:rPr>
                <w:i/>
              </w:rPr>
              <w:t xml:space="preserve">The expert shall evaluate whether the management of the project has been effective, including </w:t>
            </w:r>
            <w:proofErr w:type="gramStart"/>
            <w:r>
              <w:rPr>
                <w:i/>
              </w:rPr>
              <w:t>taking into account</w:t>
            </w:r>
            <w:proofErr w:type="gramEnd"/>
            <w:r>
              <w:rPr>
                <w:i/>
              </w:rPr>
              <w:t xml:space="preserve"> the overall progress of the project. The expert shall evaluate the information provided by the project implementer on the development and maintenance of data management plans. Whether the risk plan described in Sub-chapter 3.3 “Project Management and Risk Plan” of the project description has been implemented in cases where the risks materialised, and whether the solutions are credible.</w:t>
            </w:r>
          </w:p>
          <w:p w14:paraId="6D0C224F" w14:textId="1573CEF8" w:rsidR="00264912" w:rsidRPr="008D3730" w:rsidRDefault="00264912" w:rsidP="00264912">
            <w:pPr>
              <w:rPr>
                <w:i/>
                <w:iCs/>
              </w:rPr>
            </w:pPr>
            <w:r>
              <w:rPr>
                <w:i/>
              </w:rPr>
              <w:t>The expert shall evaluate how the internal monitoring and risk management mechanisms of the project (research teams/</w:t>
            </w:r>
            <w:r>
              <w:rPr>
                <w:i/>
                <w:iCs/>
              </w:rPr>
              <w:t>steering committees</w:t>
            </w:r>
            <w:r>
              <w:rPr>
                <w:i/>
              </w:rPr>
              <w:t>) functioned, how they influenced the delivery and quality of the results.</w:t>
            </w:r>
          </w:p>
          <w:p w14:paraId="4B54C6B4" w14:textId="05DECDA9" w:rsidR="00C26773" w:rsidRPr="008802D9" w:rsidRDefault="001836D4" w:rsidP="004A1311">
            <w:pPr>
              <w:rPr>
                <w:i/>
              </w:rPr>
            </w:pPr>
            <w:r>
              <w:rPr>
                <w:i/>
              </w:rPr>
              <w:t xml:space="preserve">In addition, the expert shall evaluate and indicate whether students and applicants for a scientific degree have been sufficiently involved in the project implementation by the specified stage. </w:t>
            </w:r>
            <w:r>
              <w:rPr>
                <w:i/>
                <w:iCs/>
              </w:rPr>
              <w:t>Students must be involved with an average workload of at least:</w:t>
            </w:r>
          </w:p>
          <w:p w14:paraId="183D4910" w14:textId="2B3593A5" w:rsidR="00C26773" w:rsidRPr="008802D9" w:rsidRDefault="00C26773" w:rsidP="00C26773">
            <w:pPr>
              <w:rPr>
                <w:i/>
              </w:rPr>
            </w:pPr>
            <w:r>
              <w:rPr>
                <w:i/>
              </w:rPr>
              <w:t>1 in the project fulfilling the objective of Sub-paragraph 5.1 of the Cabinet Order on average for at least 1 FTE;</w:t>
            </w:r>
          </w:p>
          <w:p w14:paraId="5F9E0A9E" w14:textId="310CF56B" w:rsidR="008807D3" w:rsidRDefault="00C26773" w:rsidP="008807D3">
            <w:pPr>
              <w:rPr>
                <w:i/>
              </w:rPr>
            </w:pPr>
            <w:r>
              <w:rPr>
                <w:i/>
              </w:rPr>
              <w:t>2 in the project fulfilling the objectives of Sub-paragraph 5.2 of the Cabinet Order on average for at least 1 FTE;</w:t>
            </w:r>
          </w:p>
          <w:p w14:paraId="175381ED" w14:textId="44B7F0CF" w:rsidR="00EE5F77" w:rsidRPr="006601B1" w:rsidRDefault="004A1311" w:rsidP="008807D3">
            <w:r>
              <w:rPr>
                <w:i/>
              </w:rPr>
              <w:t>during the implementation of the project.</w:t>
            </w:r>
          </w:p>
        </w:tc>
      </w:tr>
      <w:tr w:rsidR="00DF6D8F" w:rsidRPr="006601B1" w14:paraId="4CCB5F3D" w14:textId="77777777" w:rsidTr="00DF6D8F">
        <w:trPr>
          <w:trHeight w:val="415"/>
        </w:trPr>
        <w:tc>
          <w:tcPr>
            <w:tcW w:w="9923" w:type="dxa"/>
            <w:gridSpan w:val="3"/>
          </w:tcPr>
          <w:p w14:paraId="448210CD" w14:textId="52D20EB6" w:rsidR="00DF6D8F" w:rsidRPr="006601B1" w:rsidRDefault="00DF6D8F" w:rsidP="00DF6D8F">
            <w:pPr>
              <w:jc w:val="center"/>
              <w:rPr>
                <w:b/>
                <w:bCs/>
                <w:i/>
              </w:rPr>
            </w:pPr>
            <w:r>
              <w:rPr>
                <w:b/>
                <w:i/>
              </w:rPr>
              <w:lastRenderedPageBreak/>
              <w:t>Mid-term Project Evaluation</w:t>
            </w:r>
          </w:p>
        </w:tc>
      </w:tr>
      <w:tr w:rsidR="00DF6D8F" w:rsidRPr="00804C72" w14:paraId="112EFFE6" w14:textId="77777777" w:rsidTr="00DF6D8F">
        <w:trPr>
          <w:trHeight w:val="420"/>
        </w:trPr>
        <w:tc>
          <w:tcPr>
            <w:tcW w:w="4111" w:type="dxa"/>
            <w:gridSpan w:val="2"/>
          </w:tcPr>
          <w:p w14:paraId="587B8FFF" w14:textId="77777777" w:rsidR="00DF6D8F" w:rsidRPr="006601B1" w:rsidRDefault="00DF6D8F" w:rsidP="00A44538">
            <w:pPr>
              <w:rPr>
                <w:rFonts w:eastAsia="Times New Roman"/>
              </w:rPr>
            </w:pPr>
            <w:r>
              <w:rPr>
                <w:b/>
              </w:rPr>
              <w:t>Continue the project/</w:t>
            </w:r>
            <w:r>
              <w:t xml:space="preserve"> </w:t>
            </w:r>
          </w:p>
          <w:p w14:paraId="17500487" w14:textId="77777777" w:rsidR="00DF6D8F" w:rsidRPr="006601B1" w:rsidRDefault="00DF6D8F" w:rsidP="00A44538">
            <w:pPr>
              <w:rPr>
                <w:b/>
              </w:rPr>
            </w:pPr>
            <w:r>
              <w:rPr>
                <w:b/>
              </w:rPr>
              <w:t>Do not continue the project</w:t>
            </w:r>
          </w:p>
        </w:tc>
        <w:tc>
          <w:tcPr>
            <w:tcW w:w="5812" w:type="dxa"/>
          </w:tcPr>
          <w:p w14:paraId="73CA6F2E" w14:textId="77777777" w:rsidR="00DF6D8F" w:rsidRPr="006601B1" w:rsidRDefault="00DF6D8F" w:rsidP="00BB0684">
            <w:pPr>
              <w:rPr>
                <w:bCs/>
                <w:i/>
                <w:iCs/>
              </w:rPr>
            </w:pPr>
            <w:r>
              <w:rPr>
                <w:i/>
              </w:rPr>
              <w:t>If the expert evaluation of the mid-term scientific report of the project is “Proceed with the project</w:t>
            </w:r>
            <w:proofErr w:type="gramStart"/>
            <w:r>
              <w:rPr>
                <w:i/>
              </w:rPr>
              <w:t>”,</w:t>
            </w:r>
            <w:proofErr w:type="gramEnd"/>
            <w:r>
              <w:rPr>
                <w:i/>
              </w:rPr>
              <w:t xml:space="preserve"> the expert may skip any final conclusions.</w:t>
            </w:r>
          </w:p>
          <w:p w14:paraId="38182422" w14:textId="77777777" w:rsidR="00DF6D8F" w:rsidRPr="006601B1" w:rsidRDefault="00DF6D8F" w:rsidP="00BB0684">
            <w:pPr>
              <w:rPr>
                <w:bCs/>
                <w:i/>
                <w:iCs/>
              </w:rPr>
            </w:pPr>
            <w:r>
              <w:rPr>
                <w:i/>
                <w:iCs/>
              </w:rPr>
              <w:t>If the expert evaluation of the mid-term scientific report of the project is “Do not proceed with the project</w:t>
            </w:r>
            <w:proofErr w:type="gramStart"/>
            <w:r>
              <w:rPr>
                <w:i/>
                <w:iCs/>
              </w:rPr>
              <w:t>”,</w:t>
            </w:r>
            <w:proofErr w:type="gramEnd"/>
            <w:r>
              <w:rPr>
                <w:i/>
                <w:iCs/>
              </w:rPr>
              <w:t xml:space="preserve"> the expert shall provide final conclusions with an explanation and additional reasons on the progress of the project and the risks identified to the achievement of the project objective.</w:t>
            </w:r>
          </w:p>
        </w:tc>
      </w:tr>
      <w:tr w:rsidR="00BB0684" w:rsidRPr="00804C72" w14:paraId="260A066C" w14:textId="77777777" w:rsidTr="00BC386F">
        <w:trPr>
          <w:trHeight w:val="441"/>
        </w:trPr>
        <w:tc>
          <w:tcPr>
            <w:tcW w:w="4111" w:type="dxa"/>
            <w:gridSpan w:val="2"/>
          </w:tcPr>
          <w:p w14:paraId="582F456C" w14:textId="77777777" w:rsidR="0093252E" w:rsidRPr="008D3730" w:rsidRDefault="0093252E" w:rsidP="0093252E">
            <w:pPr>
              <w:jc w:val="center"/>
              <w:rPr>
                <w:b/>
                <w:bCs/>
                <w:iCs/>
              </w:rPr>
            </w:pPr>
            <w:r>
              <w:rPr>
                <w:b/>
              </w:rPr>
              <w:t>Potential risks in project implementation</w:t>
            </w:r>
          </w:p>
          <w:p w14:paraId="58F434AB" w14:textId="65E5D97D" w:rsidR="00BB0684" w:rsidRPr="00BC386F" w:rsidRDefault="00BB0684" w:rsidP="00DF6D8F">
            <w:pPr>
              <w:jc w:val="center"/>
              <w:rPr>
                <w:b/>
                <w:i/>
                <w:iCs/>
                <w:lang w:val="lv-LV"/>
              </w:rPr>
            </w:pPr>
          </w:p>
        </w:tc>
        <w:tc>
          <w:tcPr>
            <w:tcW w:w="5812" w:type="dxa"/>
          </w:tcPr>
          <w:p w14:paraId="70346B6C" w14:textId="5C509585" w:rsidR="00BB0684" w:rsidRPr="006601B1" w:rsidRDefault="0093252E" w:rsidP="00BC386F">
            <w:pPr>
              <w:rPr>
                <w:bCs/>
                <w:i/>
                <w:iCs/>
              </w:rPr>
            </w:pPr>
            <w:r>
              <w:rPr>
                <w:i/>
              </w:rPr>
              <w:t>If the expert evaluates the mid-term scientific report of the project with the score “Proceed with the project</w:t>
            </w:r>
            <w:proofErr w:type="gramStart"/>
            <w:r>
              <w:rPr>
                <w:i/>
              </w:rPr>
              <w:t>”,</w:t>
            </w:r>
            <w:proofErr w:type="gramEnd"/>
            <w:r>
              <w:rPr>
                <w:i/>
              </w:rPr>
              <w:t xml:space="preserve"> the expert shall indicate the risks (if any) to the project and whether they are low, medium, or high.</w:t>
            </w:r>
          </w:p>
        </w:tc>
      </w:tr>
      <w:tr w:rsidR="00BB0684" w:rsidRPr="00804C72" w14:paraId="3E484625" w14:textId="77777777" w:rsidTr="00BC386F">
        <w:trPr>
          <w:trHeight w:val="441"/>
        </w:trPr>
        <w:tc>
          <w:tcPr>
            <w:tcW w:w="4111" w:type="dxa"/>
            <w:gridSpan w:val="2"/>
          </w:tcPr>
          <w:p w14:paraId="742C61C2" w14:textId="7B6BCBB1" w:rsidR="0093252E" w:rsidRPr="008D3730" w:rsidRDefault="0093252E" w:rsidP="008D3730">
            <w:pPr>
              <w:rPr>
                <w:b/>
                <w:bCs/>
              </w:rPr>
            </w:pPr>
            <w:r>
              <w:rPr>
                <w:b/>
              </w:rPr>
              <w:t>Conclusions</w:t>
            </w:r>
          </w:p>
        </w:tc>
        <w:tc>
          <w:tcPr>
            <w:tcW w:w="5812" w:type="dxa"/>
          </w:tcPr>
          <w:p w14:paraId="24019DC4" w14:textId="77777777" w:rsidR="0093252E" w:rsidRPr="006601B1" w:rsidRDefault="0093252E" w:rsidP="0093252E">
            <w:pPr>
              <w:rPr>
                <w:bCs/>
                <w:i/>
                <w:iCs/>
              </w:rPr>
            </w:pPr>
            <w:r>
              <w:rPr>
                <w:i/>
              </w:rPr>
              <w:t>If the expert evaluation of the mid-term scientific report of the project is “Proceed with the project</w:t>
            </w:r>
            <w:proofErr w:type="gramStart"/>
            <w:r>
              <w:rPr>
                <w:i/>
              </w:rPr>
              <w:t>”,</w:t>
            </w:r>
            <w:proofErr w:type="gramEnd"/>
            <w:r>
              <w:rPr>
                <w:i/>
              </w:rPr>
              <w:t xml:space="preserve"> the expert may skip any final conclusions.</w:t>
            </w:r>
          </w:p>
          <w:p w14:paraId="425B2932" w14:textId="71630F7A" w:rsidR="00BB0684" w:rsidRPr="006601B1" w:rsidRDefault="0093252E" w:rsidP="00BC386F">
            <w:pPr>
              <w:rPr>
                <w:b/>
                <w:bCs/>
                <w:i/>
              </w:rPr>
            </w:pPr>
            <w:r>
              <w:rPr>
                <w:i/>
                <w:iCs/>
              </w:rPr>
              <w:t>If the expert evaluation of the mid-term scientific report of the project is “Do not proceed with the project</w:t>
            </w:r>
            <w:proofErr w:type="gramStart"/>
            <w:r>
              <w:rPr>
                <w:i/>
                <w:iCs/>
              </w:rPr>
              <w:t>”,</w:t>
            </w:r>
            <w:proofErr w:type="gramEnd"/>
            <w:r>
              <w:rPr>
                <w:i/>
                <w:iCs/>
              </w:rPr>
              <w:t xml:space="preserve"> the expert shall provide final conclusions with an explanation and additional reasons on the progress of the project and the risks identified to the achievement of the project objective.</w:t>
            </w:r>
          </w:p>
        </w:tc>
      </w:tr>
      <w:tr w:rsidR="00BB0684" w:rsidRPr="006601B1" w14:paraId="2BCA9F97" w14:textId="77777777" w:rsidTr="00DF6D8F">
        <w:trPr>
          <w:trHeight w:val="441"/>
        </w:trPr>
        <w:tc>
          <w:tcPr>
            <w:tcW w:w="9923" w:type="dxa"/>
            <w:gridSpan w:val="3"/>
          </w:tcPr>
          <w:p w14:paraId="23BD2F41" w14:textId="20C9DEDE" w:rsidR="00BB0684" w:rsidRPr="006601B1" w:rsidRDefault="00BB0684" w:rsidP="00BB0684">
            <w:pPr>
              <w:jc w:val="center"/>
              <w:rPr>
                <w:b/>
                <w:bCs/>
                <w:i/>
              </w:rPr>
            </w:pPr>
            <w:r>
              <w:rPr>
                <w:b/>
                <w:i/>
              </w:rPr>
              <w:t>Final Project Evaluation</w:t>
            </w:r>
          </w:p>
        </w:tc>
      </w:tr>
      <w:tr w:rsidR="00BB0684" w:rsidRPr="00804C72" w14:paraId="3727F64C" w14:textId="77777777" w:rsidTr="00BB0684">
        <w:trPr>
          <w:trHeight w:val="1030"/>
        </w:trPr>
        <w:tc>
          <w:tcPr>
            <w:tcW w:w="4111" w:type="dxa"/>
            <w:gridSpan w:val="2"/>
          </w:tcPr>
          <w:p w14:paraId="699A15D5" w14:textId="77777777" w:rsidR="00BB0684" w:rsidRPr="006601B1" w:rsidRDefault="00BB0684" w:rsidP="00BB0684">
            <w:pPr>
              <w:rPr>
                <w:b/>
                <w:bCs/>
                <w:iCs/>
              </w:rPr>
            </w:pPr>
            <w:r>
              <w:rPr>
                <w:b/>
              </w:rPr>
              <w:t xml:space="preserve">Project objective has been achieved. </w:t>
            </w:r>
          </w:p>
          <w:p w14:paraId="57447EB8" w14:textId="162B4A62" w:rsidR="00BB0684" w:rsidRPr="006601B1" w:rsidRDefault="00BB0684" w:rsidP="00BB0684">
            <w:pPr>
              <w:rPr>
                <w:i/>
              </w:rPr>
            </w:pPr>
            <w:r>
              <w:rPr>
                <w:i/>
              </w:rPr>
              <w:t>The project objective has been achieved – the overall score as a percentage is between 85% and -100% and more.</w:t>
            </w:r>
          </w:p>
          <w:p w14:paraId="79BE39B9" w14:textId="77777777" w:rsidR="00BB0684" w:rsidRPr="006601B1" w:rsidRDefault="00BB0684" w:rsidP="00BB0684">
            <w:pPr>
              <w:rPr>
                <w:i/>
              </w:rPr>
            </w:pPr>
            <w:r>
              <w:rPr>
                <w:b/>
                <w:bCs/>
              </w:rPr>
              <w:t>Project objective has not been achieved,</w:t>
            </w:r>
            <w:r>
              <w:rPr>
                <w:i/>
              </w:rPr>
              <w:t xml:space="preserve"> </w:t>
            </w:r>
          </w:p>
          <w:p w14:paraId="11B96918" w14:textId="205D73A6" w:rsidR="00BB0684" w:rsidRPr="006601B1" w:rsidRDefault="00BB0684" w:rsidP="00BB0684">
            <w:pPr>
              <w:rPr>
                <w:iCs/>
              </w:rPr>
            </w:pPr>
            <w:r>
              <w:rPr>
                <w:b/>
              </w:rPr>
              <w:t xml:space="preserve">objective rating as a percentage. </w:t>
            </w:r>
          </w:p>
          <w:p w14:paraId="11016D00" w14:textId="055E435B" w:rsidR="00BB0684" w:rsidRPr="006601B1" w:rsidRDefault="00BB0684" w:rsidP="00BB0684">
            <w:pPr>
              <w:rPr>
                <w:i/>
              </w:rPr>
            </w:pPr>
            <w:r>
              <w:rPr>
                <w:i/>
              </w:rPr>
              <w:t xml:space="preserve">The project objective has not been </w:t>
            </w:r>
            <w:proofErr w:type="gramStart"/>
            <w:r>
              <w:rPr>
                <w:i/>
              </w:rPr>
              <w:t>achieved,</w:t>
            </w:r>
            <w:proofErr w:type="gramEnd"/>
            <w:r>
              <w:rPr>
                <w:i/>
              </w:rPr>
              <w:t xml:space="preserve"> it does not correspond partially – the overall score as a percentage is between 25% and 84%. </w:t>
            </w:r>
          </w:p>
          <w:p w14:paraId="7EBF6413" w14:textId="2821103F" w:rsidR="00BB0684" w:rsidRPr="006601B1" w:rsidRDefault="00BB0684" w:rsidP="00BB0684">
            <w:pPr>
              <w:rPr>
                <w:i/>
              </w:rPr>
            </w:pPr>
            <w:r>
              <w:rPr>
                <w:i/>
              </w:rPr>
              <w:t xml:space="preserve">The project objective has not been </w:t>
            </w:r>
            <w:proofErr w:type="gramStart"/>
            <w:r>
              <w:rPr>
                <w:i/>
              </w:rPr>
              <w:t>achieved,</w:t>
            </w:r>
            <w:proofErr w:type="gramEnd"/>
            <w:r>
              <w:rPr>
                <w:i/>
              </w:rPr>
              <w:t xml:space="preserve"> it does not correspond at all – the overall score as a percentage is between 0% and 24%.</w:t>
            </w:r>
          </w:p>
        </w:tc>
        <w:tc>
          <w:tcPr>
            <w:tcW w:w="5812" w:type="dxa"/>
          </w:tcPr>
          <w:p w14:paraId="0F6F2D42" w14:textId="3EC576E8" w:rsidR="00BB0684" w:rsidRPr="006601B1" w:rsidRDefault="00BB0684" w:rsidP="00BB0684">
            <w:pPr>
              <w:rPr>
                <w:i/>
              </w:rPr>
            </w:pPr>
            <w:r>
              <w:rPr>
                <w:i/>
              </w:rPr>
              <w:t xml:space="preserve">The expert shall provide a target score as a percentage in the overall score of the final scientific report of the project according to the rating scale set out in Paragraph 31 of the Methodology.                                                                                                                                                                                                                                                                                                                                                                                                                                       </w:t>
            </w:r>
          </w:p>
        </w:tc>
      </w:tr>
    </w:tbl>
    <w:p w14:paraId="66E5180A" w14:textId="32C2A836" w:rsidR="00EE5F77" w:rsidRPr="006601B1" w:rsidRDefault="006E2F6D" w:rsidP="005339EC">
      <w:pPr>
        <w:spacing w:before="240" w:after="240" w:line="259" w:lineRule="auto"/>
        <w:jc w:val="center"/>
        <w:rPr>
          <w:b/>
          <w:bCs/>
        </w:rPr>
      </w:pPr>
      <w:bookmarkStart w:id="15" w:name="_Toc513469515"/>
      <w:r>
        <w:rPr>
          <w:b/>
        </w:rPr>
        <w:t>3.2 Consolidated Evaluation of the Mid-term and Final Scientific Reports of the Project</w:t>
      </w:r>
      <w:bookmarkEnd w:id="15"/>
    </w:p>
    <w:p w14:paraId="663FB3D3" w14:textId="4801FDCE" w:rsidR="00EE5F77" w:rsidRPr="006601B1" w:rsidRDefault="00656870" w:rsidP="00D053AC">
      <w:pPr>
        <w:spacing w:before="120" w:after="120"/>
        <w:ind w:firstLine="709"/>
      </w:pPr>
      <w:r>
        <w:t xml:space="preserve">28 Once the experts have completed and validated their Individual Evaluation of the </w:t>
      </w:r>
      <w:sdt>
        <w:sdtPr>
          <w:id w:val="-1895575788"/>
          <w:placeholder>
            <w:docPart w:val="DefaultPlaceholder_-1854013440"/>
          </w:placeholder>
        </w:sdtPr>
        <w:sdtContent>
          <w:r>
            <w:t>mid-term or</w:t>
          </w:r>
        </w:sdtContent>
      </w:sdt>
      <w:r>
        <w:t xml:space="preserve"> final scientific report in the Information System, the Council shall give each expert access to the Individual Evaluation completed by the other expert </w:t>
      </w:r>
      <w:proofErr w:type="gramStart"/>
      <w:r>
        <w:t>and also</w:t>
      </w:r>
      <w:proofErr w:type="gramEnd"/>
      <w:r>
        <w:t xml:space="preserve"> disclose the identity of the other experts to each expert.</w:t>
      </w:r>
    </w:p>
    <w:p w14:paraId="724CFEE8" w14:textId="017AD198" w:rsidR="00EE5F77" w:rsidRPr="006601B1" w:rsidRDefault="00EE5F77" w:rsidP="00D053AC">
      <w:pPr>
        <w:spacing w:before="120" w:after="120"/>
      </w:pPr>
      <w:r>
        <w:tab/>
        <w:t xml:space="preserve">29 One of the experts shall complete the consolidated assessment in accordance with Annex 12 to the regulations “Individual/consolidated evaluation form for the </w:t>
      </w:r>
      <w:sdt>
        <w:sdtPr>
          <w:id w:val="1429930246"/>
          <w:placeholder>
            <w:docPart w:val="DefaultPlaceholder_-1854013440"/>
          </w:placeholder>
        </w:sdtPr>
        <w:sdtContent>
          <w:r>
            <w:t>mid-term/</w:t>
          </w:r>
          <w:proofErr w:type="spellStart"/>
          <w:r>
            <w:t>final</w:t>
          </w:r>
        </w:sdtContent>
      </w:sdt>
      <w:r>
        <w:t>scientific</w:t>
      </w:r>
      <w:proofErr w:type="spellEnd"/>
      <w:r>
        <w:t xml:space="preserve"> report”, under the conditions set out in Paragraphs 25 to 27 of the Methodology, in the information system and all the experts shall confirm it in the information system. All experts confirm it in the information system within a week.</w:t>
      </w:r>
    </w:p>
    <w:p w14:paraId="274F2E0B" w14:textId="6A8C70A9" w:rsidR="00EE5F77" w:rsidRPr="006601B1" w:rsidRDefault="00F94179" w:rsidP="00D053AC">
      <w:pPr>
        <w:spacing w:before="120" w:after="120"/>
        <w:ind w:firstLine="709"/>
      </w:pPr>
      <w:r>
        <w:lastRenderedPageBreak/>
        <w:t xml:space="preserve">30 In the consolidated evaluation, the experts shall agree on a single score for the </w:t>
      </w:r>
      <w:sdt>
        <w:sdtPr>
          <w:id w:val="1929847024"/>
          <w:placeholder>
            <w:docPart w:val="DefaultPlaceholder_-1854013440"/>
          </w:placeholder>
        </w:sdtPr>
        <w:sdtContent>
          <w:r>
            <w:t>mid-term or</w:t>
          </w:r>
        </w:sdtContent>
      </w:sdt>
      <w:r>
        <w:t xml:space="preserve"> final scientific report and summarise the comments made in the individual evaluations.</w:t>
      </w:r>
    </w:p>
    <w:p w14:paraId="628ED335" w14:textId="77777777" w:rsidR="001335F1" w:rsidRPr="006601B1" w:rsidRDefault="001335F1" w:rsidP="005339EC">
      <w:pPr>
        <w:keepNext/>
        <w:keepLines/>
        <w:spacing w:before="240" w:after="240"/>
        <w:jc w:val="center"/>
        <w:outlineLvl w:val="1"/>
        <w:rPr>
          <w:rFonts w:eastAsiaTheme="majorEastAsia"/>
          <w:b/>
          <w:sz w:val="23"/>
          <w:szCs w:val="23"/>
        </w:rPr>
      </w:pPr>
      <w:bookmarkStart w:id="16" w:name="_Toc79581055"/>
      <w:bookmarkStart w:id="17" w:name="_Toc143245580"/>
      <w:r>
        <w:rPr>
          <w:b/>
          <w:sz w:val="23"/>
        </w:rPr>
        <w:t>3.3 Evaluation of the Objective of the Final Scientific Report</w:t>
      </w:r>
      <w:bookmarkEnd w:id="16"/>
      <w:bookmarkEnd w:id="17"/>
    </w:p>
    <w:p w14:paraId="1928D8B6" w14:textId="77777777" w:rsidR="00F94179" w:rsidRPr="00F94179" w:rsidRDefault="00F94179" w:rsidP="00D053AC">
      <w:pPr>
        <w:ind w:firstLine="709"/>
      </w:pPr>
      <w:r>
        <w:t>31 In the consolidated valuation of the final report, both experts shall agree on a consolidated percentage score with the following meaning:</w:t>
      </w:r>
    </w:p>
    <w:p w14:paraId="4F0E86DF" w14:textId="7A530CFF" w:rsidR="00F94179" w:rsidRPr="00F94179" w:rsidRDefault="00F94179" w:rsidP="00F94179">
      <w:pPr>
        <w:ind w:firstLine="709"/>
      </w:pPr>
      <w:r>
        <w:t xml:space="preserve">31.1 The project objective has been achieved – the overall score as a percentage is between 85% and 100% and more. The score shall be awarded if the project has been carried out with good or excellent scientific quality, has met or exceeded the expected objectives and scientific results, or if there </w:t>
      </w:r>
      <w:proofErr w:type="gramStart"/>
      <w:r>
        <w:t>is</w:t>
      </w:r>
      <w:proofErr w:type="gramEnd"/>
      <w:r>
        <w:t xml:space="preserve"> non-performance or other minor shortcomings, but the existing scientific results are of good scientific quality, e.g. the scientific articles are published in high quality journals, so that these shortcomings have not affected the achievement of the objective. </w:t>
      </w:r>
    </w:p>
    <w:p w14:paraId="7B590129" w14:textId="390E98E4" w:rsidR="00F94179" w:rsidRPr="00F94179" w:rsidRDefault="00F94179" w:rsidP="00F94179">
      <w:pPr>
        <w:ind w:firstLine="709"/>
      </w:pPr>
      <w:r>
        <w:t xml:space="preserve">31.2 The project objective has not been </w:t>
      </w:r>
      <w:proofErr w:type="gramStart"/>
      <w:r>
        <w:t>achieved,</w:t>
      </w:r>
      <w:proofErr w:type="gramEnd"/>
      <w:r>
        <w:t xml:space="preserve"> it does not correspond partially – the overall score as a percentage is between 25% and 84%. The score is awarded if the project has been carried out with sufficient scientific merit, the planned results of the project have been partially achieved, which has affected the overall achievement of the project objectives.</w:t>
      </w:r>
    </w:p>
    <w:p w14:paraId="208E6E2B" w14:textId="1DD0A4EA" w:rsidR="00F94179" w:rsidRPr="00F94179" w:rsidRDefault="00F94179" w:rsidP="00F94179">
      <w:pPr>
        <w:ind w:firstLine="709"/>
      </w:pPr>
      <w:r>
        <w:t xml:space="preserve">31.3 The project objective has not been </w:t>
      </w:r>
      <w:proofErr w:type="gramStart"/>
      <w:r>
        <w:t>achieved,</w:t>
      </w:r>
      <w:proofErr w:type="gramEnd"/>
      <w:r>
        <w:t xml:space="preserve"> it does not correspond at all – the overall score as a percentage is between 0% and 24%. The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w:t>
      </w:r>
    </w:p>
    <w:p w14:paraId="14450076" w14:textId="2200C438" w:rsidR="00F94179" w:rsidRPr="00F94179" w:rsidRDefault="00F94179" w:rsidP="00D053AC">
      <w:pPr>
        <w:tabs>
          <w:tab w:val="left" w:pos="66"/>
          <w:tab w:val="left" w:pos="567"/>
          <w:tab w:val="left" w:pos="1134"/>
        </w:tabs>
        <w:spacing w:before="120"/>
        <w:rPr>
          <w:shd w:val="clear" w:color="auto" w:fill="FFFFFF"/>
        </w:rPr>
      </w:pPr>
      <w:r>
        <w:rPr>
          <w:shd w:val="clear" w:color="auto" w:fill="FFFFFF"/>
        </w:rPr>
        <w:tab/>
      </w:r>
      <w:r>
        <w:rPr>
          <w:shd w:val="clear" w:color="auto" w:fill="FFFFFF"/>
        </w:rPr>
        <w:tab/>
        <w:t xml:space="preserve">  32 </w:t>
      </w:r>
      <w:proofErr w:type="gramStart"/>
      <w:r>
        <w:rPr>
          <w:shd w:val="clear" w:color="auto" w:fill="FFFFFF"/>
        </w:rPr>
        <w:t>Taking into account</w:t>
      </w:r>
      <w:proofErr w:type="gramEnd"/>
      <w:r>
        <w:rPr>
          <w:shd w:val="clear" w:color="auto" w:fill="FFFFFF"/>
        </w:rPr>
        <w:t xml:space="preserve"> the percentage of the score provided for in Paragraph 31 of the Methodology, the Council shall calculate the refundable part of the funding as follows:</w:t>
      </w:r>
    </w:p>
    <w:p w14:paraId="362F620B" w14:textId="2FC81281" w:rsidR="00F94179" w:rsidRPr="00F94179" w:rsidRDefault="00F94179" w:rsidP="00F94179">
      <w:pPr>
        <w:tabs>
          <w:tab w:val="left" w:pos="66"/>
          <w:tab w:val="left" w:pos="567"/>
          <w:tab w:val="left" w:pos="1134"/>
        </w:tabs>
        <w:rPr>
          <w:shd w:val="clear" w:color="auto" w:fill="FFFFFF"/>
        </w:rPr>
      </w:pPr>
      <w:r>
        <w:rPr>
          <w:shd w:val="clear" w:color="auto" w:fill="FFFFFF"/>
        </w:rPr>
        <w:tab/>
      </w:r>
      <w:r>
        <w:rPr>
          <w:shd w:val="clear" w:color="auto" w:fill="FFFFFF"/>
        </w:rPr>
        <w:tab/>
        <w:t xml:space="preserve">   32.1 if the percentage of the objective score of the experts referred to in Sub-clause 2.20 of the Contract is between 60% and 65%, a flat rate of 5% shall be applied;</w:t>
      </w:r>
    </w:p>
    <w:p w14:paraId="52D11C28" w14:textId="4DA0E042" w:rsidR="00F94179" w:rsidRPr="00F94179" w:rsidRDefault="00F94179" w:rsidP="00F94179">
      <w:pPr>
        <w:tabs>
          <w:tab w:val="left" w:pos="66"/>
          <w:tab w:val="left" w:pos="567"/>
          <w:tab w:val="left" w:pos="1134"/>
        </w:tabs>
        <w:rPr>
          <w:shd w:val="clear" w:color="auto" w:fill="FFFFFF"/>
        </w:rPr>
      </w:pPr>
      <w:r>
        <w:rPr>
          <w:shd w:val="clear" w:color="auto" w:fill="FFFFFF"/>
        </w:rPr>
        <w:tab/>
      </w:r>
      <w:r>
        <w:rPr>
          <w:shd w:val="clear" w:color="auto" w:fill="FFFFFF"/>
        </w:rPr>
        <w:tab/>
        <w:t xml:space="preserve">  32.2 if the percentage of the objective score of the experts referred to in Sub-clause 2.20 of the Contract is between 50% and 59%, a flat rate of 10% shall be applied;</w:t>
      </w:r>
    </w:p>
    <w:p w14:paraId="3B321468" w14:textId="7C03EE5C" w:rsidR="00F94179" w:rsidRPr="00F94179" w:rsidRDefault="00F94179" w:rsidP="00F94179">
      <w:pPr>
        <w:tabs>
          <w:tab w:val="left" w:pos="66"/>
          <w:tab w:val="left" w:pos="567"/>
          <w:tab w:val="left" w:pos="1134"/>
        </w:tabs>
        <w:rPr>
          <w:shd w:val="clear" w:color="auto" w:fill="FFFFFF"/>
        </w:rPr>
      </w:pPr>
      <w:r>
        <w:rPr>
          <w:shd w:val="clear" w:color="auto" w:fill="FFFFFF"/>
        </w:rPr>
        <w:tab/>
        <w:t xml:space="preserve">          32.3 if the percentage of the objective score of the experts referred to in Sub-clause 2.20 of the Contract is below 50%, a flat rate of 25% shall be applied.</w:t>
      </w:r>
    </w:p>
    <w:p w14:paraId="743C1B46" w14:textId="77777777" w:rsidR="001335F1" w:rsidRPr="006601B1" w:rsidRDefault="001335F1" w:rsidP="00D001BD">
      <w:pPr>
        <w:rPr>
          <w:lang w:val="lv-LV"/>
        </w:rPr>
      </w:pPr>
    </w:p>
    <w:sectPr w:rsidR="001335F1" w:rsidRPr="006601B1" w:rsidSect="003C3687">
      <w:headerReference w:type="default" r:id="rId8"/>
      <w:headerReference w:type="first" r:id="rId9"/>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9082" w14:textId="77777777" w:rsidR="0075482A" w:rsidRDefault="0075482A" w:rsidP="00EE5F77">
      <w:r>
        <w:separator/>
      </w:r>
    </w:p>
  </w:endnote>
  <w:endnote w:type="continuationSeparator" w:id="0">
    <w:p w14:paraId="1EA2987A" w14:textId="77777777" w:rsidR="0075482A" w:rsidRDefault="0075482A"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6964" w14:textId="77777777" w:rsidR="0075482A" w:rsidRDefault="0075482A" w:rsidP="00EE5F77">
      <w:r>
        <w:separator/>
      </w:r>
    </w:p>
  </w:footnote>
  <w:footnote w:type="continuationSeparator" w:id="0">
    <w:p w14:paraId="3A6C4F0F" w14:textId="77777777" w:rsidR="0075482A" w:rsidRDefault="0075482A" w:rsidP="00EE5F77">
      <w:r>
        <w:continuationSeparator/>
      </w:r>
    </w:p>
  </w:footnote>
  <w:footnote w:id="1">
    <w:p w14:paraId="7CF4AD93" w14:textId="27B91866" w:rsidR="00410212" w:rsidRPr="00F862FF" w:rsidRDefault="00410212">
      <w:pPr>
        <w:pStyle w:val="FootnoteText"/>
      </w:pPr>
      <w:r>
        <w:rPr>
          <w:rStyle w:val="FootnoteReference"/>
        </w:rPr>
        <w:footnoteRef/>
      </w:r>
      <w:r>
        <w:t xml:space="preserve"> Section 27(1) of the Law on Higher Education Institutions</w:t>
      </w:r>
    </w:p>
  </w:footnote>
  <w:footnote w:id="2">
    <w:p w14:paraId="54CF3FB6" w14:textId="645D52F2" w:rsidR="00410212" w:rsidRDefault="00410212">
      <w:pPr>
        <w:pStyle w:val="FootnoteText"/>
      </w:pPr>
      <w:r>
        <w:rPr>
          <w:rStyle w:val="FootnoteReference"/>
        </w:rPr>
        <w:footnoteRef/>
      </w:r>
      <w:r>
        <w:t xml:space="preserve"> Article 2(83) of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L 187/1) (</w:t>
      </w:r>
      <w:hyperlink r:id="rId2" w:history="1">
        <w:r>
          <w:rPr>
            <w:rStyle w:val="Hyperlink"/>
          </w:rPr>
          <w:t>https://eur-lex.europa.eu/eli/reg/2014/651/oj/?locale=LV</w:t>
        </w:r>
      </w:hyperlink>
      <w:r>
        <w:t>)</w:t>
      </w:r>
    </w:p>
  </w:footnote>
  <w:footnote w:id="3">
    <w:p w14:paraId="48A60085" w14:textId="0A14EABF" w:rsidR="00410212" w:rsidRPr="00695C84" w:rsidRDefault="00410212" w:rsidP="00A8649C">
      <w:pPr>
        <w:pStyle w:val="FootnoteText"/>
      </w:pPr>
      <w:r>
        <w:rPr>
          <w:rStyle w:val="FootnoteReference"/>
        </w:rPr>
        <w:footnoteRef/>
      </w:r>
      <w:r>
        <w:t xml:space="preserve"> Section 44(1) of the Law on Higher Education Institutions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t>7</w:t>
        </w:r>
        <w:r>
          <w:fldChar w:fldCharType="end"/>
        </w:r>
      </w:p>
    </w:sdtContent>
  </w:sdt>
  <w:p w14:paraId="04F6E7B1" w14:textId="77777777" w:rsidR="00410212" w:rsidRDefault="00410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649D" w14:textId="7735BDD1" w:rsidR="00186514" w:rsidRPr="00186514" w:rsidRDefault="00186514" w:rsidP="00186514">
    <w:pPr>
      <w:pStyle w:val="Header"/>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9401F2"/>
    <w:multiLevelType w:val="hybridMultilevel"/>
    <w:tmpl w:val="9196D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5"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6" w15:restartNumberingAfterBreak="0">
    <w:nsid w:val="12C3006F"/>
    <w:multiLevelType w:val="hybridMultilevel"/>
    <w:tmpl w:val="923469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6"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7"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16cid:durableId="1893466676">
    <w:abstractNumId w:val="13"/>
  </w:num>
  <w:num w:numId="2" w16cid:durableId="749276377">
    <w:abstractNumId w:val="1"/>
  </w:num>
  <w:num w:numId="3" w16cid:durableId="141965274">
    <w:abstractNumId w:val="0"/>
  </w:num>
  <w:num w:numId="4" w16cid:durableId="535436011">
    <w:abstractNumId w:val="16"/>
  </w:num>
  <w:num w:numId="5" w16cid:durableId="2065912152">
    <w:abstractNumId w:val="14"/>
  </w:num>
  <w:num w:numId="6" w16cid:durableId="1503079732">
    <w:abstractNumId w:val="17"/>
  </w:num>
  <w:num w:numId="7" w16cid:durableId="143400280">
    <w:abstractNumId w:val="8"/>
  </w:num>
  <w:num w:numId="8" w16cid:durableId="228268207">
    <w:abstractNumId w:val="16"/>
    <w:lvlOverride w:ilvl="0">
      <w:startOverride w:val="2"/>
    </w:lvlOverride>
    <w:lvlOverride w:ilvl="1">
      <w:startOverride w:val="3"/>
    </w:lvlOverride>
  </w:num>
  <w:num w:numId="9" w16cid:durableId="95907455">
    <w:abstractNumId w:val="23"/>
  </w:num>
  <w:num w:numId="10" w16cid:durableId="2035113365">
    <w:abstractNumId w:val="4"/>
  </w:num>
  <w:num w:numId="11" w16cid:durableId="158271244">
    <w:abstractNumId w:val="15"/>
  </w:num>
  <w:num w:numId="12" w16cid:durableId="2018383021">
    <w:abstractNumId w:val="19"/>
  </w:num>
  <w:num w:numId="13" w16cid:durableId="31078352">
    <w:abstractNumId w:val="5"/>
  </w:num>
  <w:num w:numId="14" w16cid:durableId="2107655173">
    <w:abstractNumId w:val="2"/>
  </w:num>
  <w:num w:numId="15" w16cid:durableId="1293562003">
    <w:abstractNumId w:val="12"/>
  </w:num>
  <w:num w:numId="16" w16cid:durableId="1679850399">
    <w:abstractNumId w:val="22"/>
  </w:num>
  <w:num w:numId="17" w16cid:durableId="43140138">
    <w:abstractNumId w:val="9"/>
  </w:num>
  <w:num w:numId="18" w16cid:durableId="1708990318">
    <w:abstractNumId w:val="11"/>
  </w:num>
  <w:num w:numId="19" w16cid:durableId="1619294300">
    <w:abstractNumId w:val="10"/>
  </w:num>
  <w:num w:numId="20" w16cid:durableId="1106585280">
    <w:abstractNumId w:val="9"/>
    <w:lvlOverride w:ilvl="0">
      <w:startOverride w:val="2"/>
    </w:lvlOverride>
  </w:num>
  <w:num w:numId="21" w16cid:durableId="265814950">
    <w:abstractNumId w:val="9"/>
    <w:lvlOverride w:ilvl="0">
      <w:startOverride w:val="1"/>
    </w:lvlOverride>
  </w:num>
  <w:num w:numId="22" w16cid:durableId="1208640172">
    <w:abstractNumId w:val="21"/>
  </w:num>
  <w:num w:numId="23" w16cid:durableId="362636749">
    <w:abstractNumId w:val="7"/>
  </w:num>
  <w:num w:numId="24" w16cid:durableId="1765343279">
    <w:abstractNumId w:val="20"/>
  </w:num>
  <w:num w:numId="25" w16cid:durableId="770121909">
    <w:abstractNumId w:val="18"/>
  </w:num>
  <w:num w:numId="26" w16cid:durableId="1735346950">
    <w:abstractNumId w:val="3"/>
  </w:num>
  <w:num w:numId="27" w16cid:durableId="980420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CEC"/>
    <w:rsid w:val="00014396"/>
    <w:rsid w:val="00020BAE"/>
    <w:rsid w:val="000221DF"/>
    <w:rsid w:val="0002429A"/>
    <w:rsid w:val="000247C5"/>
    <w:rsid w:val="000307CE"/>
    <w:rsid w:val="000332FE"/>
    <w:rsid w:val="0004052E"/>
    <w:rsid w:val="0004241C"/>
    <w:rsid w:val="000465E2"/>
    <w:rsid w:val="00052504"/>
    <w:rsid w:val="000533C2"/>
    <w:rsid w:val="00056A15"/>
    <w:rsid w:val="00061196"/>
    <w:rsid w:val="0006380C"/>
    <w:rsid w:val="00074176"/>
    <w:rsid w:val="00077535"/>
    <w:rsid w:val="00080281"/>
    <w:rsid w:val="000866B6"/>
    <w:rsid w:val="00086B64"/>
    <w:rsid w:val="00090679"/>
    <w:rsid w:val="000A7E0B"/>
    <w:rsid w:val="000B1750"/>
    <w:rsid w:val="000B3AEB"/>
    <w:rsid w:val="000C473C"/>
    <w:rsid w:val="000C6E2C"/>
    <w:rsid w:val="000D025C"/>
    <w:rsid w:val="000D242D"/>
    <w:rsid w:val="000D4682"/>
    <w:rsid w:val="000D550C"/>
    <w:rsid w:val="000D7EF9"/>
    <w:rsid w:val="000E3E86"/>
    <w:rsid w:val="000E5B98"/>
    <w:rsid w:val="000F09A7"/>
    <w:rsid w:val="000F13B4"/>
    <w:rsid w:val="000F1759"/>
    <w:rsid w:val="00101067"/>
    <w:rsid w:val="00103343"/>
    <w:rsid w:val="00110EA9"/>
    <w:rsid w:val="00111C85"/>
    <w:rsid w:val="00112998"/>
    <w:rsid w:val="00112EC9"/>
    <w:rsid w:val="00115003"/>
    <w:rsid w:val="00124C37"/>
    <w:rsid w:val="00125F31"/>
    <w:rsid w:val="001335F1"/>
    <w:rsid w:val="00145693"/>
    <w:rsid w:val="00145A42"/>
    <w:rsid w:val="001521C7"/>
    <w:rsid w:val="00152835"/>
    <w:rsid w:val="0015727F"/>
    <w:rsid w:val="00157B9D"/>
    <w:rsid w:val="00177CC2"/>
    <w:rsid w:val="001808AE"/>
    <w:rsid w:val="00180EB1"/>
    <w:rsid w:val="001813CB"/>
    <w:rsid w:val="001836D4"/>
    <w:rsid w:val="00185FBE"/>
    <w:rsid w:val="00186514"/>
    <w:rsid w:val="00191AE1"/>
    <w:rsid w:val="001959AF"/>
    <w:rsid w:val="001A10F3"/>
    <w:rsid w:val="001A4515"/>
    <w:rsid w:val="001A48BA"/>
    <w:rsid w:val="001B00BB"/>
    <w:rsid w:val="001B227A"/>
    <w:rsid w:val="001B3C3F"/>
    <w:rsid w:val="001D280F"/>
    <w:rsid w:val="001D6CEF"/>
    <w:rsid w:val="001E5F14"/>
    <w:rsid w:val="001E7C0A"/>
    <w:rsid w:val="001F262B"/>
    <w:rsid w:val="001F59F1"/>
    <w:rsid w:val="00200EC7"/>
    <w:rsid w:val="00201243"/>
    <w:rsid w:val="00202F64"/>
    <w:rsid w:val="002056B3"/>
    <w:rsid w:val="00221AC1"/>
    <w:rsid w:val="002252EB"/>
    <w:rsid w:val="00231228"/>
    <w:rsid w:val="00231460"/>
    <w:rsid w:val="0023192D"/>
    <w:rsid w:val="002320AB"/>
    <w:rsid w:val="0024187A"/>
    <w:rsid w:val="00242ABF"/>
    <w:rsid w:val="0024635A"/>
    <w:rsid w:val="00247F21"/>
    <w:rsid w:val="00253D23"/>
    <w:rsid w:val="002568C2"/>
    <w:rsid w:val="00264912"/>
    <w:rsid w:val="00271332"/>
    <w:rsid w:val="00275542"/>
    <w:rsid w:val="00277FE6"/>
    <w:rsid w:val="00283904"/>
    <w:rsid w:val="00285117"/>
    <w:rsid w:val="00285FA8"/>
    <w:rsid w:val="00290767"/>
    <w:rsid w:val="00295048"/>
    <w:rsid w:val="00295C78"/>
    <w:rsid w:val="00297D4B"/>
    <w:rsid w:val="002A1361"/>
    <w:rsid w:val="002A717C"/>
    <w:rsid w:val="002B1C22"/>
    <w:rsid w:val="002B1FDC"/>
    <w:rsid w:val="002B7CB9"/>
    <w:rsid w:val="002C059E"/>
    <w:rsid w:val="002C51CC"/>
    <w:rsid w:val="002D5A02"/>
    <w:rsid w:val="002E37A2"/>
    <w:rsid w:val="002E3E98"/>
    <w:rsid w:val="00305D6E"/>
    <w:rsid w:val="003139C5"/>
    <w:rsid w:val="00317ABD"/>
    <w:rsid w:val="00320E4A"/>
    <w:rsid w:val="00324E6E"/>
    <w:rsid w:val="0032529A"/>
    <w:rsid w:val="003270BF"/>
    <w:rsid w:val="0033040D"/>
    <w:rsid w:val="00342351"/>
    <w:rsid w:val="00342927"/>
    <w:rsid w:val="00353FF0"/>
    <w:rsid w:val="00360C29"/>
    <w:rsid w:val="00361849"/>
    <w:rsid w:val="0037003C"/>
    <w:rsid w:val="0037334F"/>
    <w:rsid w:val="00373C5D"/>
    <w:rsid w:val="0037700A"/>
    <w:rsid w:val="00377EC2"/>
    <w:rsid w:val="00387BCF"/>
    <w:rsid w:val="00392060"/>
    <w:rsid w:val="00392EE4"/>
    <w:rsid w:val="003A076E"/>
    <w:rsid w:val="003A3E67"/>
    <w:rsid w:val="003A59B2"/>
    <w:rsid w:val="003A753C"/>
    <w:rsid w:val="003B6922"/>
    <w:rsid w:val="003B71C6"/>
    <w:rsid w:val="003C3687"/>
    <w:rsid w:val="003C5A45"/>
    <w:rsid w:val="003D2968"/>
    <w:rsid w:val="003D5757"/>
    <w:rsid w:val="003D7310"/>
    <w:rsid w:val="003E2AA8"/>
    <w:rsid w:val="003E3EB2"/>
    <w:rsid w:val="003E5721"/>
    <w:rsid w:val="003E6ED1"/>
    <w:rsid w:val="003F071B"/>
    <w:rsid w:val="00403AE8"/>
    <w:rsid w:val="00404A96"/>
    <w:rsid w:val="00410212"/>
    <w:rsid w:val="0041303E"/>
    <w:rsid w:val="00414697"/>
    <w:rsid w:val="00417EE1"/>
    <w:rsid w:val="0042233A"/>
    <w:rsid w:val="004236AC"/>
    <w:rsid w:val="004274F4"/>
    <w:rsid w:val="004324C1"/>
    <w:rsid w:val="00435099"/>
    <w:rsid w:val="0043626C"/>
    <w:rsid w:val="004368D3"/>
    <w:rsid w:val="00441983"/>
    <w:rsid w:val="0044380D"/>
    <w:rsid w:val="00445A1E"/>
    <w:rsid w:val="00445CE6"/>
    <w:rsid w:val="0044741F"/>
    <w:rsid w:val="0045540A"/>
    <w:rsid w:val="004564D7"/>
    <w:rsid w:val="00465464"/>
    <w:rsid w:val="00477E0A"/>
    <w:rsid w:val="00497BB9"/>
    <w:rsid w:val="004A0BE3"/>
    <w:rsid w:val="004A1311"/>
    <w:rsid w:val="004A2B35"/>
    <w:rsid w:val="004A69DE"/>
    <w:rsid w:val="004B4FFA"/>
    <w:rsid w:val="004B62F4"/>
    <w:rsid w:val="004C7992"/>
    <w:rsid w:val="004D25B5"/>
    <w:rsid w:val="004D535C"/>
    <w:rsid w:val="004D5C19"/>
    <w:rsid w:val="004D5E16"/>
    <w:rsid w:val="004D61A7"/>
    <w:rsid w:val="004D6687"/>
    <w:rsid w:val="004E0DE1"/>
    <w:rsid w:val="004E4F6C"/>
    <w:rsid w:val="004F149A"/>
    <w:rsid w:val="004F23CD"/>
    <w:rsid w:val="00500F97"/>
    <w:rsid w:val="00503F22"/>
    <w:rsid w:val="00511313"/>
    <w:rsid w:val="00517CB3"/>
    <w:rsid w:val="00522538"/>
    <w:rsid w:val="00527AF3"/>
    <w:rsid w:val="005314DB"/>
    <w:rsid w:val="005339EC"/>
    <w:rsid w:val="00533B93"/>
    <w:rsid w:val="00534D88"/>
    <w:rsid w:val="00534EBC"/>
    <w:rsid w:val="00550A7E"/>
    <w:rsid w:val="00550B86"/>
    <w:rsid w:val="0055646B"/>
    <w:rsid w:val="00570F21"/>
    <w:rsid w:val="005742BE"/>
    <w:rsid w:val="00574E4E"/>
    <w:rsid w:val="00592151"/>
    <w:rsid w:val="00597B30"/>
    <w:rsid w:val="005A2218"/>
    <w:rsid w:val="005A77B5"/>
    <w:rsid w:val="005B24CF"/>
    <w:rsid w:val="005B3BFB"/>
    <w:rsid w:val="005B4B53"/>
    <w:rsid w:val="005C3AAA"/>
    <w:rsid w:val="005C4C90"/>
    <w:rsid w:val="005C4FAC"/>
    <w:rsid w:val="005C53AA"/>
    <w:rsid w:val="005C59F8"/>
    <w:rsid w:val="005C7346"/>
    <w:rsid w:val="005C7665"/>
    <w:rsid w:val="005D0C58"/>
    <w:rsid w:val="005D2D37"/>
    <w:rsid w:val="005E6C64"/>
    <w:rsid w:val="005E7595"/>
    <w:rsid w:val="005E7D63"/>
    <w:rsid w:val="00605ED7"/>
    <w:rsid w:val="00605F61"/>
    <w:rsid w:val="00622255"/>
    <w:rsid w:val="00637147"/>
    <w:rsid w:val="00646506"/>
    <w:rsid w:val="00652079"/>
    <w:rsid w:val="00652A13"/>
    <w:rsid w:val="00656870"/>
    <w:rsid w:val="006601B1"/>
    <w:rsid w:val="0066045A"/>
    <w:rsid w:val="00660F5D"/>
    <w:rsid w:val="0066144E"/>
    <w:rsid w:val="006625C1"/>
    <w:rsid w:val="006644E6"/>
    <w:rsid w:val="006645A1"/>
    <w:rsid w:val="0066659C"/>
    <w:rsid w:val="00671285"/>
    <w:rsid w:val="006770D4"/>
    <w:rsid w:val="00677681"/>
    <w:rsid w:val="00683FBD"/>
    <w:rsid w:val="00687842"/>
    <w:rsid w:val="00694E2F"/>
    <w:rsid w:val="00695B85"/>
    <w:rsid w:val="006A6364"/>
    <w:rsid w:val="006C0EDC"/>
    <w:rsid w:val="006C2CC3"/>
    <w:rsid w:val="006C74EC"/>
    <w:rsid w:val="006D516D"/>
    <w:rsid w:val="006E0FF4"/>
    <w:rsid w:val="006E1744"/>
    <w:rsid w:val="006E2F6D"/>
    <w:rsid w:val="006E653F"/>
    <w:rsid w:val="006E6CAF"/>
    <w:rsid w:val="006F21FA"/>
    <w:rsid w:val="00702ACC"/>
    <w:rsid w:val="0071004C"/>
    <w:rsid w:val="0071545F"/>
    <w:rsid w:val="007157D6"/>
    <w:rsid w:val="00724F4D"/>
    <w:rsid w:val="00730F41"/>
    <w:rsid w:val="0074027E"/>
    <w:rsid w:val="00744AC8"/>
    <w:rsid w:val="00745D54"/>
    <w:rsid w:val="00753C95"/>
    <w:rsid w:val="0075482A"/>
    <w:rsid w:val="00760137"/>
    <w:rsid w:val="00762EB9"/>
    <w:rsid w:val="007664C1"/>
    <w:rsid w:val="00773B17"/>
    <w:rsid w:val="00775074"/>
    <w:rsid w:val="007750AF"/>
    <w:rsid w:val="00780BAD"/>
    <w:rsid w:val="00783CD5"/>
    <w:rsid w:val="007A52CC"/>
    <w:rsid w:val="007A7B77"/>
    <w:rsid w:val="007B13BA"/>
    <w:rsid w:val="007B3C13"/>
    <w:rsid w:val="007C1081"/>
    <w:rsid w:val="007C15AE"/>
    <w:rsid w:val="007C7C43"/>
    <w:rsid w:val="007D05D0"/>
    <w:rsid w:val="007D0729"/>
    <w:rsid w:val="007D0C31"/>
    <w:rsid w:val="007D2FEA"/>
    <w:rsid w:val="007E1A50"/>
    <w:rsid w:val="007E3789"/>
    <w:rsid w:val="007E4E86"/>
    <w:rsid w:val="007E649A"/>
    <w:rsid w:val="007E70BE"/>
    <w:rsid w:val="007F34A7"/>
    <w:rsid w:val="007F7607"/>
    <w:rsid w:val="00801536"/>
    <w:rsid w:val="00804C72"/>
    <w:rsid w:val="00806C9B"/>
    <w:rsid w:val="008207D7"/>
    <w:rsid w:val="008241AB"/>
    <w:rsid w:val="0083140B"/>
    <w:rsid w:val="008317DF"/>
    <w:rsid w:val="008337F0"/>
    <w:rsid w:val="008338E7"/>
    <w:rsid w:val="008350DE"/>
    <w:rsid w:val="008357B4"/>
    <w:rsid w:val="00836FFA"/>
    <w:rsid w:val="00837FBE"/>
    <w:rsid w:val="00841EAF"/>
    <w:rsid w:val="00842CF6"/>
    <w:rsid w:val="00846737"/>
    <w:rsid w:val="008474A6"/>
    <w:rsid w:val="00857C29"/>
    <w:rsid w:val="00863C96"/>
    <w:rsid w:val="00863D72"/>
    <w:rsid w:val="008643AD"/>
    <w:rsid w:val="00876041"/>
    <w:rsid w:val="008802D9"/>
    <w:rsid w:val="008807D3"/>
    <w:rsid w:val="00890807"/>
    <w:rsid w:val="008A0A87"/>
    <w:rsid w:val="008A1299"/>
    <w:rsid w:val="008A16FD"/>
    <w:rsid w:val="008A186E"/>
    <w:rsid w:val="008B4292"/>
    <w:rsid w:val="008B45E5"/>
    <w:rsid w:val="008B7963"/>
    <w:rsid w:val="008B7F16"/>
    <w:rsid w:val="008C0A11"/>
    <w:rsid w:val="008C5979"/>
    <w:rsid w:val="008C7995"/>
    <w:rsid w:val="008D1782"/>
    <w:rsid w:val="008D2D08"/>
    <w:rsid w:val="008D3730"/>
    <w:rsid w:val="008D52A8"/>
    <w:rsid w:val="008D79A0"/>
    <w:rsid w:val="008E2AA3"/>
    <w:rsid w:val="008E7390"/>
    <w:rsid w:val="008F2704"/>
    <w:rsid w:val="008F2D2D"/>
    <w:rsid w:val="008F4836"/>
    <w:rsid w:val="00901E22"/>
    <w:rsid w:val="00902013"/>
    <w:rsid w:val="0090619D"/>
    <w:rsid w:val="00910948"/>
    <w:rsid w:val="00912557"/>
    <w:rsid w:val="009127D6"/>
    <w:rsid w:val="00916AFC"/>
    <w:rsid w:val="0091791C"/>
    <w:rsid w:val="00920044"/>
    <w:rsid w:val="00920F04"/>
    <w:rsid w:val="00922943"/>
    <w:rsid w:val="00923E8A"/>
    <w:rsid w:val="00924CAB"/>
    <w:rsid w:val="00924E75"/>
    <w:rsid w:val="00931E74"/>
    <w:rsid w:val="0093252E"/>
    <w:rsid w:val="009360F4"/>
    <w:rsid w:val="0094036E"/>
    <w:rsid w:val="0094247B"/>
    <w:rsid w:val="00951316"/>
    <w:rsid w:val="00962103"/>
    <w:rsid w:val="00962729"/>
    <w:rsid w:val="00970D56"/>
    <w:rsid w:val="00976B8C"/>
    <w:rsid w:val="00984959"/>
    <w:rsid w:val="00992ED2"/>
    <w:rsid w:val="00995778"/>
    <w:rsid w:val="009A06EC"/>
    <w:rsid w:val="009A29D9"/>
    <w:rsid w:val="009B4973"/>
    <w:rsid w:val="009B4B13"/>
    <w:rsid w:val="009B720E"/>
    <w:rsid w:val="009C2041"/>
    <w:rsid w:val="009C28E6"/>
    <w:rsid w:val="009C33DE"/>
    <w:rsid w:val="009D18E7"/>
    <w:rsid w:val="009E1CA0"/>
    <w:rsid w:val="009E4953"/>
    <w:rsid w:val="009E5A85"/>
    <w:rsid w:val="009E5AD2"/>
    <w:rsid w:val="009E6128"/>
    <w:rsid w:val="009F3B00"/>
    <w:rsid w:val="009F7295"/>
    <w:rsid w:val="009F72AD"/>
    <w:rsid w:val="00A00565"/>
    <w:rsid w:val="00A00CC7"/>
    <w:rsid w:val="00A17C30"/>
    <w:rsid w:val="00A2175A"/>
    <w:rsid w:val="00A24128"/>
    <w:rsid w:val="00A24636"/>
    <w:rsid w:val="00A30569"/>
    <w:rsid w:val="00A34E05"/>
    <w:rsid w:val="00A41579"/>
    <w:rsid w:val="00A442D5"/>
    <w:rsid w:val="00A51BAB"/>
    <w:rsid w:val="00A527E8"/>
    <w:rsid w:val="00A57740"/>
    <w:rsid w:val="00A60811"/>
    <w:rsid w:val="00A61C97"/>
    <w:rsid w:val="00A64F23"/>
    <w:rsid w:val="00A67E06"/>
    <w:rsid w:val="00A7075D"/>
    <w:rsid w:val="00A7598F"/>
    <w:rsid w:val="00A835C7"/>
    <w:rsid w:val="00A8649C"/>
    <w:rsid w:val="00A93989"/>
    <w:rsid w:val="00AA1E48"/>
    <w:rsid w:val="00AA5775"/>
    <w:rsid w:val="00AA6268"/>
    <w:rsid w:val="00AA6FED"/>
    <w:rsid w:val="00AB10ED"/>
    <w:rsid w:val="00AB1CC2"/>
    <w:rsid w:val="00AC58EA"/>
    <w:rsid w:val="00AD02C9"/>
    <w:rsid w:val="00AD374F"/>
    <w:rsid w:val="00AD4214"/>
    <w:rsid w:val="00AE3ADE"/>
    <w:rsid w:val="00AE4E28"/>
    <w:rsid w:val="00AE5724"/>
    <w:rsid w:val="00AF011B"/>
    <w:rsid w:val="00AF37EF"/>
    <w:rsid w:val="00B009D5"/>
    <w:rsid w:val="00B012A0"/>
    <w:rsid w:val="00B0780C"/>
    <w:rsid w:val="00B103E3"/>
    <w:rsid w:val="00B13B04"/>
    <w:rsid w:val="00B13B53"/>
    <w:rsid w:val="00B14940"/>
    <w:rsid w:val="00B20F39"/>
    <w:rsid w:val="00B266E8"/>
    <w:rsid w:val="00B26800"/>
    <w:rsid w:val="00B3065E"/>
    <w:rsid w:val="00B37ECD"/>
    <w:rsid w:val="00B44EE3"/>
    <w:rsid w:val="00B46CF9"/>
    <w:rsid w:val="00B513AA"/>
    <w:rsid w:val="00B51B4E"/>
    <w:rsid w:val="00B62656"/>
    <w:rsid w:val="00B71E0E"/>
    <w:rsid w:val="00B7384A"/>
    <w:rsid w:val="00B7459B"/>
    <w:rsid w:val="00B82D5E"/>
    <w:rsid w:val="00B85315"/>
    <w:rsid w:val="00B85B90"/>
    <w:rsid w:val="00B90F60"/>
    <w:rsid w:val="00B96966"/>
    <w:rsid w:val="00BA2579"/>
    <w:rsid w:val="00BA6EB6"/>
    <w:rsid w:val="00BA7C45"/>
    <w:rsid w:val="00BB0684"/>
    <w:rsid w:val="00BB3E52"/>
    <w:rsid w:val="00BC3366"/>
    <w:rsid w:val="00BC366A"/>
    <w:rsid w:val="00BC386F"/>
    <w:rsid w:val="00BD0E1E"/>
    <w:rsid w:val="00BD39DC"/>
    <w:rsid w:val="00BE6759"/>
    <w:rsid w:val="00BE6977"/>
    <w:rsid w:val="00BE7E2C"/>
    <w:rsid w:val="00BF1475"/>
    <w:rsid w:val="00BF2537"/>
    <w:rsid w:val="00BF500A"/>
    <w:rsid w:val="00BF5B8F"/>
    <w:rsid w:val="00C02E03"/>
    <w:rsid w:val="00C17A10"/>
    <w:rsid w:val="00C262B3"/>
    <w:rsid w:val="00C26773"/>
    <w:rsid w:val="00C306B6"/>
    <w:rsid w:val="00C33CA9"/>
    <w:rsid w:val="00C34DED"/>
    <w:rsid w:val="00C369E0"/>
    <w:rsid w:val="00C44113"/>
    <w:rsid w:val="00C54F3F"/>
    <w:rsid w:val="00C55DFE"/>
    <w:rsid w:val="00C5791D"/>
    <w:rsid w:val="00C60BF1"/>
    <w:rsid w:val="00C63501"/>
    <w:rsid w:val="00C65428"/>
    <w:rsid w:val="00C71BE8"/>
    <w:rsid w:val="00C71E7E"/>
    <w:rsid w:val="00C82DB2"/>
    <w:rsid w:val="00C83C0C"/>
    <w:rsid w:val="00C84289"/>
    <w:rsid w:val="00C92C19"/>
    <w:rsid w:val="00C9311C"/>
    <w:rsid w:val="00C945FD"/>
    <w:rsid w:val="00C954A4"/>
    <w:rsid w:val="00CA36D4"/>
    <w:rsid w:val="00CA517B"/>
    <w:rsid w:val="00CA5C31"/>
    <w:rsid w:val="00CA6CDA"/>
    <w:rsid w:val="00CA7135"/>
    <w:rsid w:val="00CB58BF"/>
    <w:rsid w:val="00CD08B3"/>
    <w:rsid w:val="00CD0F15"/>
    <w:rsid w:val="00CD1CB9"/>
    <w:rsid w:val="00CD48B2"/>
    <w:rsid w:val="00CF159D"/>
    <w:rsid w:val="00CF3AA3"/>
    <w:rsid w:val="00CF4121"/>
    <w:rsid w:val="00D001BD"/>
    <w:rsid w:val="00D0406B"/>
    <w:rsid w:val="00D053AC"/>
    <w:rsid w:val="00D07C24"/>
    <w:rsid w:val="00D173D4"/>
    <w:rsid w:val="00D209F3"/>
    <w:rsid w:val="00D21C1E"/>
    <w:rsid w:val="00D31279"/>
    <w:rsid w:val="00D32438"/>
    <w:rsid w:val="00D3363B"/>
    <w:rsid w:val="00D4180F"/>
    <w:rsid w:val="00D43373"/>
    <w:rsid w:val="00D5089E"/>
    <w:rsid w:val="00D57270"/>
    <w:rsid w:val="00D73F42"/>
    <w:rsid w:val="00D77942"/>
    <w:rsid w:val="00D80F33"/>
    <w:rsid w:val="00D86D86"/>
    <w:rsid w:val="00D8799D"/>
    <w:rsid w:val="00DA1AAD"/>
    <w:rsid w:val="00DA370D"/>
    <w:rsid w:val="00DA3EBB"/>
    <w:rsid w:val="00DA4582"/>
    <w:rsid w:val="00DA5376"/>
    <w:rsid w:val="00DA7015"/>
    <w:rsid w:val="00DB0288"/>
    <w:rsid w:val="00DC215B"/>
    <w:rsid w:val="00DC3019"/>
    <w:rsid w:val="00DD175B"/>
    <w:rsid w:val="00DD288A"/>
    <w:rsid w:val="00DD2EFA"/>
    <w:rsid w:val="00DD608F"/>
    <w:rsid w:val="00DE58D5"/>
    <w:rsid w:val="00DE635B"/>
    <w:rsid w:val="00DF339F"/>
    <w:rsid w:val="00DF6D8F"/>
    <w:rsid w:val="00E043A2"/>
    <w:rsid w:val="00E12497"/>
    <w:rsid w:val="00E130E4"/>
    <w:rsid w:val="00E16EA2"/>
    <w:rsid w:val="00E238A7"/>
    <w:rsid w:val="00E26BD7"/>
    <w:rsid w:val="00E27496"/>
    <w:rsid w:val="00E33203"/>
    <w:rsid w:val="00E352D8"/>
    <w:rsid w:val="00E35B6B"/>
    <w:rsid w:val="00E371C0"/>
    <w:rsid w:val="00E44639"/>
    <w:rsid w:val="00E51846"/>
    <w:rsid w:val="00E5305A"/>
    <w:rsid w:val="00E53430"/>
    <w:rsid w:val="00E60B5A"/>
    <w:rsid w:val="00E66723"/>
    <w:rsid w:val="00E74C81"/>
    <w:rsid w:val="00E74E14"/>
    <w:rsid w:val="00E75F91"/>
    <w:rsid w:val="00E83B75"/>
    <w:rsid w:val="00E84268"/>
    <w:rsid w:val="00E84476"/>
    <w:rsid w:val="00E85CD2"/>
    <w:rsid w:val="00E94916"/>
    <w:rsid w:val="00EA0B66"/>
    <w:rsid w:val="00EA2AB3"/>
    <w:rsid w:val="00EA49E8"/>
    <w:rsid w:val="00EA4C8E"/>
    <w:rsid w:val="00EB4726"/>
    <w:rsid w:val="00EC2947"/>
    <w:rsid w:val="00EC66B2"/>
    <w:rsid w:val="00ED0A1E"/>
    <w:rsid w:val="00ED0CBE"/>
    <w:rsid w:val="00ED52BB"/>
    <w:rsid w:val="00EE069B"/>
    <w:rsid w:val="00EE40E2"/>
    <w:rsid w:val="00EE4585"/>
    <w:rsid w:val="00EE5F77"/>
    <w:rsid w:val="00EF26FC"/>
    <w:rsid w:val="00EF64DF"/>
    <w:rsid w:val="00EF73E9"/>
    <w:rsid w:val="00F0027D"/>
    <w:rsid w:val="00F020D8"/>
    <w:rsid w:val="00F03254"/>
    <w:rsid w:val="00F03507"/>
    <w:rsid w:val="00F0738C"/>
    <w:rsid w:val="00F11B34"/>
    <w:rsid w:val="00F21B70"/>
    <w:rsid w:val="00F22BE0"/>
    <w:rsid w:val="00F2312E"/>
    <w:rsid w:val="00F23500"/>
    <w:rsid w:val="00F25D14"/>
    <w:rsid w:val="00F26277"/>
    <w:rsid w:val="00F27950"/>
    <w:rsid w:val="00F33351"/>
    <w:rsid w:val="00F344CA"/>
    <w:rsid w:val="00F3547F"/>
    <w:rsid w:val="00F37660"/>
    <w:rsid w:val="00F37F37"/>
    <w:rsid w:val="00F455B6"/>
    <w:rsid w:val="00F53163"/>
    <w:rsid w:val="00F57BCC"/>
    <w:rsid w:val="00F619FD"/>
    <w:rsid w:val="00F6799E"/>
    <w:rsid w:val="00F679BD"/>
    <w:rsid w:val="00F71038"/>
    <w:rsid w:val="00F72C46"/>
    <w:rsid w:val="00F7500B"/>
    <w:rsid w:val="00F828AE"/>
    <w:rsid w:val="00F83424"/>
    <w:rsid w:val="00F8558C"/>
    <w:rsid w:val="00F858C3"/>
    <w:rsid w:val="00F862FF"/>
    <w:rsid w:val="00F872AD"/>
    <w:rsid w:val="00F87882"/>
    <w:rsid w:val="00F94179"/>
    <w:rsid w:val="00F96EC9"/>
    <w:rsid w:val="00FA7F43"/>
    <w:rsid w:val="00FB1276"/>
    <w:rsid w:val="00FB2795"/>
    <w:rsid w:val="00FB405D"/>
    <w:rsid w:val="00FC28A9"/>
    <w:rsid w:val="00FC5245"/>
    <w:rsid w:val="00FD00B5"/>
    <w:rsid w:val="00FD3BB7"/>
    <w:rsid w:val="00FD5D59"/>
    <w:rsid w:val="00FE2DF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D053AC"/>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5339EC"/>
    <w:pPr>
      <w:keepNext/>
      <w:keepLines/>
      <w:spacing w:before="240" w:after="24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53AC"/>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5339EC"/>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
    <w:basedOn w:val="Normal"/>
    <w:link w:val="ListParagraphChar"/>
    <w:autoRedefine/>
    <w:uiPriority w:val="34"/>
    <w:qFormat/>
    <w:rsid w:val="00A93989"/>
    <w:pPr>
      <w:spacing w:after="160" w:line="259" w:lineRule="auto"/>
      <w:contextualSpacing/>
    </w:pPr>
    <w:rPr>
      <w:rFonts w:eastAsia="Calibri"/>
      <w:i/>
      <w:iCs/>
      <w:shd w:val="clear" w:color="auto" w:fill="FFFFFF"/>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93989"/>
    <w:rPr>
      <w:rFonts w:ascii="Times New Roman" w:eastAsia="Calibri" w:hAnsi="Times New Roman" w:cs="Times New Roman"/>
      <w:i/>
      <w:iCs/>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tv213">
    <w:name w:val="tv213"/>
    <w:basedOn w:val="Normal"/>
    <w:rsid w:val="00E66723"/>
    <w:pPr>
      <w:spacing w:before="100" w:beforeAutospacing="1" w:after="100" w:afterAutospacing="1"/>
      <w:jc w:val="left"/>
    </w:pPr>
    <w:rPr>
      <w:lang w:eastAsia="lv-LV" w:bidi="ar-SA"/>
    </w:rPr>
  </w:style>
  <w:style w:type="character" w:styleId="FollowedHyperlink">
    <w:name w:val="FollowedHyperlink"/>
    <w:basedOn w:val="DefaultParagraphFont"/>
    <w:uiPriority w:val="99"/>
    <w:semiHidden/>
    <w:unhideWhenUsed/>
    <w:rsid w:val="003E3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
      <w:docPartPr>
        <w:name w:val="F3225BBDF12445C3A16F822795417012"/>
        <w:category>
          <w:name w:val="General"/>
          <w:gallery w:val="placeholder"/>
        </w:category>
        <w:types>
          <w:type w:val="bbPlcHdr"/>
        </w:types>
        <w:behaviors>
          <w:behavior w:val="content"/>
        </w:behaviors>
        <w:guid w:val="{08619893-0156-46F7-9F80-BCDDF28E8FAF}"/>
      </w:docPartPr>
      <w:docPartBody>
        <w:p w:rsidR="006B7271" w:rsidRDefault="006B7271" w:rsidP="006B7271">
          <w:pPr>
            <w:pStyle w:val="F3225BBDF12445C3A16F822795417012"/>
          </w:pPr>
          <w:r>
            <w:rPr>
              <w:rStyle w:val="PlaceholderText"/>
            </w:rPr>
            <w:t>Click or tap here to enter text.</w:t>
          </w:r>
        </w:p>
      </w:docPartBody>
    </w:docPart>
    <w:docPart>
      <w:docPartPr>
        <w:name w:val="75757FD6DBCC4DFDBA1DC67094D5DBC4"/>
        <w:category>
          <w:name w:val="Vispārīgi"/>
          <w:gallery w:val="placeholder"/>
        </w:category>
        <w:types>
          <w:type w:val="bbPlcHdr"/>
        </w:types>
        <w:behaviors>
          <w:behavior w:val="content"/>
        </w:behaviors>
        <w:guid w:val="{D02AC70E-A97D-4C9A-B2E3-353C1D60C6AD}"/>
      </w:docPartPr>
      <w:docPartBody>
        <w:p w:rsidR="0087014D" w:rsidRDefault="0087014D" w:rsidP="0087014D">
          <w:pPr>
            <w:pStyle w:val="75757FD6DBCC4DFDBA1DC67094D5DBC4"/>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35334"/>
    <w:rsid w:val="000465E2"/>
    <w:rsid w:val="0008508D"/>
    <w:rsid w:val="000E5B98"/>
    <w:rsid w:val="00145370"/>
    <w:rsid w:val="001D4BC8"/>
    <w:rsid w:val="001F59F1"/>
    <w:rsid w:val="00200EC7"/>
    <w:rsid w:val="00244A56"/>
    <w:rsid w:val="0024635A"/>
    <w:rsid w:val="002C6689"/>
    <w:rsid w:val="0039495F"/>
    <w:rsid w:val="003B0D98"/>
    <w:rsid w:val="003D4181"/>
    <w:rsid w:val="003E5721"/>
    <w:rsid w:val="00417EE1"/>
    <w:rsid w:val="0044380D"/>
    <w:rsid w:val="004D21F8"/>
    <w:rsid w:val="004D51FF"/>
    <w:rsid w:val="00516BF0"/>
    <w:rsid w:val="00570B9B"/>
    <w:rsid w:val="005947E6"/>
    <w:rsid w:val="005C7346"/>
    <w:rsid w:val="005D0C58"/>
    <w:rsid w:val="005E6C64"/>
    <w:rsid w:val="005F0468"/>
    <w:rsid w:val="00636BC5"/>
    <w:rsid w:val="006B7271"/>
    <w:rsid w:val="007364D4"/>
    <w:rsid w:val="0077157D"/>
    <w:rsid w:val="00775074"/>
    <w:rsid w:val="007C1081"/>
    <w:rsid w:val="007E2D5C"/>
    <w:rsid w:val="007E649A"/>
    <w:rsid w:val="0080576C"/>
    <w:rsid w:val="00814528"/>
    <w:rsid w:val="008241AB"/>
    <w:rsid w:val="008338E7"/>
    <w:rsid w:val="0087014D"/>
    <w:rsid w:val="00875FE8"/>
    <w:rsid w:val="008A1D4C"/>
    <w:rsid w:val="008D355B"/>
    <w:rsid w:val="009A0381"/>
    <w:rsid w:val="009A75B2"/>
    <w:rsid w:val="009E1CA0"/>
    <w:rsid w:val="00A17C30"/>
    <w:rsid w:val="00A346B0"/>
    <w:rsid w:val="00A45EEA"/>
    <w:rsid w:val="00A50E47"/>
    <w:rsid w:val="00A613B8"/>
    <w:rsid w:val="00A86C95"/>
    <w:rsid w:val="00AD5878"/>
    <w:rsid w:val="00B13B53"/>
    <w:rsid w:val="00B85833"/>
    <w:rsid w:val="00B94FA5"/>
    <w:rsid w:val="00BA6EB6"/>
    <w:rsid w:val="00BE7E2C"/>
    <w:rsid w:val="00BF1475"/>
    <w:rsid w:val="00BF500A"/>
    <w:rsid w:val="00C33CA9"/>
    <w:rsid w:val="00C55CC5"/>
    <w:rsid w:val="00C55DFE"/>
    <w:rsid w:val="00CA36D4"/>
    <w:rsid w:val="00D104B0"/>
    <w:rsid w:val="00D15E2B"/>
    <w:rsid w:val="00D27646"/>
    <w:rsid w:val="00D3363B"/>
    <w:rsid w:val="00D71CE3"/>
    <w:rsid w:val="00DD288A"/>
    <w:rsid w:val="00DD7514"/>
    <w:rsid w:val="00E55AB5"/>
    <w:rsid w:val="00E85CD2"/>
    <w:rsid w:val="00E910F3"/>
    <w:rsid w:val="00F0738C"/>
    <w:rsid w:val="00F52A65"/>
    <w:rsid w:val="00F750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14D"/>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 w:type="paragraph" w:customStyle="1" w:styleId="F3225BBDF12445C3A16F822795417012">
    <w:name w:val="F3225BBDF12445C3A16F822795417012"/>
    <w:rsid w:val="006B7271"/>
    <w:pPr>
      <w:spacing w:line="278" w:lineRule="auto"/>
    </w:pPr>
    <w:rPr>
      <w:kern w:val="2"/>
      <w:sz w:val="24"/>
      <w:szCs w:val="24"/>
      <w14:ligatures w14:val="standardContextual"/>
    </w:rPr>
  </w:style>
  <w:style w:type="paragraph" w:customStyle="1" w:styleId="75757FD6DBCC4DFDBA1DC67094D5DBC4">
    <w:name w:val="75757FD6DBCC4DFDBA1DC67094D5DBC4"/>
    <w:rsid w:val="008701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D784E-7DDD-410D-B663-0A53011D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16</Pages>
  <Words>37000</Words>
  <Characters>21091</Characters>
  <Application>Microsoft Office Word</Application>
  <DocSecurity>0</DocSecurity>
  <Lines>175</Lines>
  <Paragraphs>115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73</cp:revision>
  <cp:lastPrinted>2025-08-20T08:16:00Z</cp:lastPrinted>
  <dcterms:created xsi:type="dcterms:W3CDTF">2026-01-06T07:58:00Z</dcterms:created>
  <dcterms:modified xsi:type="dcterms:W3CDTF">2026-02-25T07:37:00Z</dcterms:modified>
</cp:coreProperties>
</file>