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FA7" w:rsidRDefault="00950E5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LZP </w:t>
      </w:r>
      <w:proofErr w:type="spellStart"/>
      <w:r>
        <w:rPr>
          <w:b/>
        </w:rPr>
        <w:t>stratēģijas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politikas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plānošanas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konteksts</w:t>
      </w:r>
      <w:proofErr w:type="spellEnd"/>
      <w:r>
        <w:rPr>
          <w:b/>
        </w:rPr>
        <w:t>:</w:t>
      </w:r>
    </w:p>
    <w:p w:rsidR="00985FA7" w:rsidRDefault="00985FA7">
      <w:pPr>
        <w:jc w:val="center"/>
      </w:pPr>
    </w:p>
    <w:p w:rsidR="00985FA7" w:rsidRDefault="00950E58">
      <w:pPr>
        <w:jc w:val="center"/>
      </w:pPr>
      <w:r>
        <w:t xml:space="preserve">ZTAIP 2021.-2027. </w:t>
      </w:r>
      <w:proofErr w:type="spellStart"/>
      <w:r>
        <w:t>rīcības</w:t>
      </w:r>
      <w:proofErr w:type="spellEnd"/>
      <w:r>
        <w:t xml:space="preserve"> </w:t>
      </w:r>
      <w:proofErr w:type="spellStart"/>
      <w:r>
        <w:t>virzieni</w:t>
      </w:r>
      <w:proofErr w:type="spellEnd"/>
      <w:r>
        <w:t xml:space="preserve">, </w:t>
      </w:r>
      <w:proofErr w:type="spellStart"/>
      <w:r>
        <w:t>uzdevumi</w:t>
      </w:r>
      <w:proofErr w:type="spellEnd"/>
      <w:r>
        <w:t xml:space="preserve"> un </w:t>
      </w:r>
      <w:proofErr w:type="spellStart"/>
      <w:r>
        <w:t>apakšuzdevumi</w:t>
      </w:r>
      <w:proofErr w:type="spellEnd"/>
      <w:r>
        <w:t>.</w:t>
      </w:r>
    </w:p>
    <w:p w:rsidR="00985FA7" w:rsidRDefault="00985FA7">
      <w:pPr>
        <w:jc w:val="center"/>
      </w:pPr>
    </w:p>
    <w:p w:rsidR="00985FA7" w:rsidRDefault="00950E58">
      <w:pPr>
        <w:jc w:val="center"/>
      </w:pPr>
      <w:r>
        <w:t xml:space="preserve">LZP </w:t>
      </w:r>
      <w:proofErr w:type="spellStart"/>
      <w:r>
        <w:t>ir</w:t>
      </w:r>
      <w:proofErr w:type="spellEnd"/>
      <w:r>
        <w:t xml:space="preserve"> </w:t>
      </w:r>
      <w:proofErr w:type="spellStart"/>
      <w:r>
        <w:t>klāt</w:t>
      </w:r>
      <w:proofErr w:type="spellEnd"/>
      <w:r>
        <w:t xml:space="preserve"> 7 no 8 ZTAIP </w:t>
      </w:r>
      <w:proofErr w:type="spellStart"/>
      <w:r>
        <w:t>rīcības</w:t>
      </w:r>
      <w:proofErr w:type="spellEnd"/>
      <w:r>
        <w:t xml:space="preserve"> </w:t>
      </w:r>
      <w:proofErr w:type="spellStart"/>
      <w:r>
        <w:t>virzienos</w:t>
      </w:r>
      <w:proofErr w:type="spellEnd"/>
      <w:r>
        <w:t xml:space="preserve"> </w:t>
      </w:r>
      <w:proofErr w:type="spellStart"/>
      <w:r>
        <w:t>lielākā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mazākā</w:t>
      </w:r>
      <w:proofErr w:type="spellEnd"/>
      <w:r>
        <w:t xml:space="preserve"> </w:t>
      </w:r>
      <w:proofErr w:type="spellStart"/>
      <w:r>
        <w:t>kompetencē</w:t>
      </w:r>
      <w:proofErr w:type="spellEnd"/>
      <w:r>
        <w:t>.</w:t>
      </w:r>
    </w:p>
    <w:p w:rsidR="00985FA7" w:rsidRDefault="00985FA7"/>
    <w:p w:rsidR="00985FA7" w:rsidRDefault="00985FA7"/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5430"/>
        <w:gridCol w:w="1470"/>
        <w:gridCol w:w="1485"/>
      </w:tblGrid>
      <w:tr w:rsidR="00985FA7">
        <w:trPr>
          <w:trHeight w:val="96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5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Nosaukums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Atbildīgā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institūcija</w:t>
            </w:r>
            <w:proofErr w:type="spellEnd"/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Līdzatbildīgās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institūcijas</w:t>
            </w:r>
            <w:proofErr w:type="spellEnd"/>
          </w:p>
        </w:tc>
      </w:tr>
      <w:tr w:rsidR="00985FA7">
        <w:trPr>
          <w:trHeight w:val="485"/>
        </w:trPr>
        <w:tc>
          <w:tcPr>
            <w:tcW w:w="9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1.1. </w:t>
            </w:r>
            <w:proofErr w:type="spellStart"/>
            <w:r>
              <w:rPr>
                <w:b/>
              </w:rPr>
              <w:t>rīcības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virziens</w:t>
            </w:r>
            <w:proofErr w:type="spellEnd"/>
            <w:r>
              <w:rPr>
                <w:b/>
              </w:rPr>
              <w:t xml:space="preserve">. P&amp;A </w:t>
            </w:r>
            <w:proofErr w:type="spellStart"/>
            <w:r>
              <w:rPr>
                <w:b/>
              </w:rPr>
              <w:t>cilvēkkapitāla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attīstība</w:t>
            </w:r>
            <w:proofErr w:type="spellEnd"/>
            <w:r>
              <w:rPr>
                <w:b/>
              </w:rPr>
              <w:t xml:space="preserve">                                                    </w:t>
            </w:r>
          </w:p>
        </w:tc>
      </w:tr>
      <w:tr w:rsidR="00985FA7">
        <w:trPr>
          <w:trHeight w:val="69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Izveidot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jaunu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akadēmiskās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karjeras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ietvaru</w:t>
            </w:r>
            <w:proofErr w:type="spellEnd"/>
            <w:r>
              <w:rPr>
                <w:b/>
                <w:sz w:val="20"/>
                <w:szCs w:val="20"/>
              </w:rPr>
              <w:t xml:space="preserve">, kas </w:t>
            </w:r>
            <w:proofErr w:type="spellStart"/>
            <w:r>
              <w:rPr>
                <w:b/>
                <w:sz w:val="20"/>
                <w:szCs w:val="20"/>
              </w:rPr>
              <w:t>skaidri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definē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nacionālā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mērogā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vienotu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akadēmisko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amatu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struktūru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karjeras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izvēles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ceļus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odrošina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profesionālās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izaugsmes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iespējas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sekmē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kvalitatīvu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akadēmiski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pedagoģiskā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akadēmiski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zinātniskā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darba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attīstību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zināšanu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radīšanas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nepārtrauktību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ilgtermiņā</w:t>
            </w:r>
            <w:proofErr w:type="spellEnd"/>
          </w:p>
        </w:tc>
      </w:tr>
      <w:tr w:rsidR="00985FA7">
        <w:trPr>
          <w:trHeight w:val="1337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1.1.1.5.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Ieviest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akadēmiskā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personāla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tenūras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sistēmu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nodrošinot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sasaisti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augstākās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izglītības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zinātnes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trīs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pīlāru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finansēšanas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ZM, VM, KM, LZP, </w:t>
            </w:r>
            <w:proofErr w:type="spellStart"/>
            <w:r>
              <w:rPr>
                <w:sz w:val="20"/>
                <w:szCs w:val="20"/>
              </w:rPr>
              <w:t>augstskolas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zinātniskās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institūcijas</w:t>
            </w:r>
            <w:proofErr w:type="spellEnd"/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1.1.2.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Stimulēt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zinātniskā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personāla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atjaunotni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jauno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zinātnieku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iesaisti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pētniecībā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inovācijā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nodrošinot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studējošo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doktorantu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jauno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zinātnieku</w:t>
            </w:r>
            <w:proofErr w:type="spellEnd"/>
            <w:r>
              <w:rPr>
                <w:b/>
                <w:sz w:val="20"/>
                <w:szCs w:val="20"/>
              </w:rPr>
              <w:t xml:space="preserve">, t.sk. no </w:t>
            </w:r>
            <w:proofErr w:type="spellStart"/>
            <w:r>
              <w:rPr>
                <w:b/>
                <w:sz w:val="20"/>
                <w:szCs w:val="20"/>
              </w:rPr>
              <w:t>ārvalstīm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iesaisti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projektos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valsts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budžeta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finansētās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līdzfinansētās</w:t>
            </w:r>
            <w:proofErr w:type="spellEnd"/>
            <w:r>
              <w:rPr>
                <w:b/>
                <w:sz w:val="20"/>
                <w:szCs w:val="20"/>
              </w:rPr>
              <w:t xml:space="preserve"> P&amp;A </w:t>
            </w:r>
            <w:proofErr w:type="spellStart"/>
            <w:r>
              <w:rPr>
                <w:b/>
                <w:sz w:val="20"/>
                <w:szCs w:val="20"/>
              </w:rPr>
              <w:t>programmās</w:t>
            </w:r>
            <w:proofErr w:type="spellEnd"/>
          </w:p>
        </w:tc>
      </w:tr>
      <w:tr w:rsidR="00985FA7">
        <w:trPr>
          <w:trHeight w:val="131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1.1.2.1.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grupām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oriģinālu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fundamentālu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lietišķu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zināšanu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radīšanai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zinātnes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nozarēs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jaunu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starpdisciplināru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virzienu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attīstībai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Fundamentālo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lietišķo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pētījumu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LZP</w:t>
            </w:r>
          </w:p>
        </w:tc>
      </w:tr>
      <w:tr w:rsidR="00985FA7">
        <w:trPr>
          <w:trHeight w:val="102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1.1.2.2.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Pēcdoktorantūras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atbalsta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programma</w:t>
            </w:r>
            <w:proofErr w:type="spellEnd"/>
            <w:r>
              <w:rPr>
                <w:sz w:val="20"/>
                <w:szCs w:val="20"/>
              </w:rPr>
              <w:t xml:space="preserve">, kas </w:t>
            </w:r>
            <w:proofErr w:type="spellStart"/>
            <w:r>
              <w:rPr>
                <w:sz w:val="20"/>
                <w:szCs w:val="20"/>
              </w:rPr>
              <w:t>vienlaikus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veicina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Apvārsnis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Eiropa</w:t>
            </w:r>
            <w:proofErr w:type="spellEnd"/>
            <w:r>
              <w:rPr>
                <w:sz w:val="20"/>
                <w:szCs w:val="20"/>
              </w:rPr>
              <w:t xml:space="preserve"> MSCA </w:t>
            </w:r>
            <w:proofErr w:type="spellStart"/>
            <w:r>
              <w:rPr>
                <w:sz w:val="20"/>
                <w:szCs w:val="20"/>
              </w:rPr>
              <w:t>Cofund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finansējuma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piesaisti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nodrošina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personāla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mobilitāti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akadēmisko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sektoru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industriju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LZP, EM</w:t>
            </w:r>
          </w:p>
        </w:tc>
      </w:tr>
      <w:tr w:rsidR="00985FA7">
        <w:trPr>
          <w:trHeight w:val="485"/>
        </w:trPr>
        <w:tc>
          <w:tcPr>
            <w:tcW w:w="9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1.3. </w:t>
            </w:r>
            <w:proofErr w:type="spellStart"/>
            <w:r>
              <w:rPr>
                <w:b/>
              </w:rPr>
              <w:t>Rīcības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virziens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Starptautiskā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mobilitāte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izcilības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piesaiste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sadarbība</w:t>
            </w:r>
            <w:proofErr w:type="spellEnd"/>
          </w:p>
        </w:tc>
      </w:tr>
      <w:tr w:rsidR="00985FA7">
        <w:trPr>
          <w:trHeight w:val="69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Sekmēt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akadēmiskā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personāla</w:t>
            </w:r>
            <w:proofErr w:type="spellEnd"/>
            <w:r>
              <w:rPr>
                <w:b/>
                <w:sz w:val="20"/>
                <w:szCs w:val="20"/>
              </w:rPr>
              <w:t xml:space="preserve"> (t.sk. </w:t>
            </w:r>
            <w:proofErr w:type="spellStart"/>
            <w:r>
              <w:rPr>
                <w:b/>
                <w:sz w:val="20"/>
                <w:szCs w:val="20"/>
              </w:rPr>
              <w:t>doktorantu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sz w:val="20"/>
                <w:szCs w:val="20"/>
              </w:rPr>
              <w:t>mobilitāti</w:t>
            </w:r>
            <w:proofErr w:type="spellEnd"/>
            <w:r>
              <w:rPr>
                <w:b/>
                <w:sz w:val="20"/>
                <w:szCs w:val="20"/>
              </w:rPr>
              <w:t xml:space="preserve">, t.sk. </w:t>
            </w:r>
            <w:proofErr w:type="spellStart"/>
            <w:r>
              <w:rPr>
                <w:b/>
                <w:sz w:val="20"/>
                <w:szCs w:val="20"/>
              </w:rPr>
              <w:t>virtuālo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mobilitāti</w:t>
            </w:r>
            <w:proofErr w:type="spellEnd"/>
            <w:r>
              <w:rPr>
                <w:b/>
                <w:sz w:val="20"/>
                <w:szCs w:val="20"/>
              </w:rPr>
              <w:t xml:space="preserve">, un </w:t>
            </w:r>
            <w:proofErr w:type="spellStart"/>
            <w:r>
              <w:rPr>
                <w:b/>
                <w:sz w:val="20"/>
                <w:szCs w:val="20"/>
              </w:rPr>
              <w:t>piesaisti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Latvijai</w:t>
            </w:r>
            <w:proofErr w:type="spellEnd"/>
            <w:r>
              <w:rPr>
                <w:b/>
                <w:sz w:val="20"/>
                <w:szCs w:val="20"/>
              </w:rPr>
              <w:t xml:space="preserve">, un </w:t>
            </w:r>
            <w:proofErr w:type="spellStart"/>
            <w:r>
              <w:rPr>
                <w:b/>
                <w:sz w:val="20"/>
                <w:szCs w:val="20"/>
              </w:rPr>
              <w:t>mērķtiecīgu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sadarbību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Latvijas</w:t>
            </w:r>
            <w:proofErr w:type="spellEnd"/>
            <w:r>
              <w:rPr>
                <w:b/>
                <w:sz w:val="20"/>
                <w:szCs w:val="20"/>
              </w:rPr>
              <w:t xml:space="preserve"> diasporas </w:t>
            </w:r>
            <w:proofErr w:type="spellStart"/>
            <w:r>
              <w:rPr>
                <w:b/>
                <w:sz w:val="20"/>
                <w:szCs w:val="20"/>
              </w:rPr>
              <w:t>pētniekiem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lai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veicinātu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zināšanu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pārnesi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starptautisko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sadarbību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pētniecības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infrastruktūru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</w:t>
            </w:r>
            <w:r>
              <w:rPr>
                <w:b/>
                <w:sz w:val="20"/>
                <w:szCs w:val="20"/>
              </w:rPr>
              <w:t>plietošanu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zinātniskās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darbības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ciešāku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sasaisti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pasaules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līmeņa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pētniecību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zinātnes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nozaru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starpnozaru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pētījumu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aktuālo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problemātiku</w:t>
            </w:r>
            <w:proofErr w:type="spellEnd"/>
          </w:p>
        </w:tc>
      </w:tr>
      <w:tr w:rsidR="00985FA7">
        <w:trPr>
          <w:trHeight w:val="158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1.3.1.1.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Atbalsts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akadēmiskā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personāla</w:t>
            </w:r>
            <w:proofErr w:type="spellEnd"/>
            <w:r>
              <w:rPr>
                <w:sz w:val="20"/>
                <w:szCs w:val="20"/>
              </w:rPr>
              <w:t xml:space="preserve"> (t.sk. </w:t>
            </w:r>
            <w:proofErr w:type="spellStart"/>
            <w:r>
              <w:rPr>
                <w:sz w:val="20"/>
                <w:szCs w:val="20"/>
              </w:rPr>
              <w:t>doktorantu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mobilitātei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starptautisko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sadarbību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veicinošām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</w:t>
            </w:r>
            <w:r>
              <w:rPr>
                <w:sz w:val="20"/>
                <w:szCs w:val="20"/>
              </w:rPr>
              <w:t>ivitātēm</w:t>
            </w:r>
            <w:proofErr w:type="spellEnd"/>
            <w:r>
              <w:rPr>
                <w:sz w:val="20"/>
                <w:szCs w:val="20"/>
              </w:rPr>
              <w:t xml:space="preserve">, kas </w:t>
            </w:r>
            <w:proofErr w:type="spellStart"/>
            <w:r>
              <w:rPr>
                <w:sz w:val="20"/>
                <w:szCs w:val="20"/>
              </w:rPr>
              <w:t>nodrošina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pieredzes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apmaiņu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ārvalstu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speciālistu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pieredzējušu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zinātnieku</w:t>
            </w:r>
            <w:proofErr w:type="spellEnd"/>
            <w:r>
              <w:rPr>
                <w:sz w:val="20"/>
                <w:szCs w:val="20"/>
              </w:rPr>
              <w:t xml:space="preserve">, t.sk. no diasporas, </w:t>
            </w:r>
            <w:proofErr w:type="spellStart"/>
            <w:r>
              <w:rPr>
                <w:sz w:val="20"/>
                <w:szCs w:val="20"/>
              </w:rPr>
              <w:t>piesaisti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darbam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Latvijas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zinātnes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vidē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kopsadarbības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izstrādi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īstenošanu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LZP, ZM, VM,</w:t>
            </w:r>
          </w:p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KM,  LZA</w:t>
            </w:r>
            <w:proofErr w:type="gramEnd"/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1.3.2.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Attīstīt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sadarbību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augstākajā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izglītībā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pētniecībā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inovācijā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starp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Baltijas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valstīm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Baltijas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jūras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reģiona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valstīm</w:t>
            </w:r>
            <w:proofErr w:type="spellEnd"/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1.3.2.1.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Nodrošināt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Baltijas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jūras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reģiona</w:t>
            </w:r>
            <w:proofErr w:type="spellEnd"/>
            <w:r>
              <w:rPr>
                <w:sz w:val="20"/>
                <w:szCs w:val="20"/>
              </w:rPr>
              <w:t xml:space="preserve"> P&amp;I </w:t>
            </w:r>
            <w:proofErr w:type="spellStart"/>
            <w:r>
              <w:rPr>
                <w:sz w:val="20"/>
                <w:szCs w:val="20"/>
              </w:rPr>
              <w:t>programmā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LZP,  LZA</w:t>
            </w:r>
            <w:proofErr w:type="gramEnd"/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1.3.2.2.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Nodrošināt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dalību</w:t>
            </w:r>
            <w:proofErr w:type="spellEnd"/>
            <w:r>
              <w:rPr>
                <w:sz w:val="20"/>
                <w:szCs w:val="20"/>
              </w:rPr>
              <w:t xml:space="preserve"> EEZ/</w:t>
            </w:r>
            <w:proofErr w:type="spellStart"/>
            <w:r>
              <w:rPr>
                <w:sz w:val="20"/>
                <w:szCs w:val="20"/>
              </w:rPr>
              <w:t>Norvēģijas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finanšu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instrumenta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programmā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LZP, EM</w:t>
            </w:r>
          </w:p>
        </w:tc>
      </w:tr>
      <w:tr w:rsidR="00985FA7">
        <w:trPr>
          <w:trHeight w:val="75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1.3.2.3.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Nodrošināt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Ziemeļu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Ministru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padomes</w:t>
            </w:r>
            <w:proofErr w:type="spellEnd"/>
            <w:r>
              <w:rPr>
                <w:sz w:val="20"/>
                <w:szCs w:val="20"/>
              </w:rPr>
              <w:t xml:space="preserve"> P&amp;I </w:t>
            </w:r>
            <w:proofErr w:type="spellStart"/>
            <w:r>
              <w:rPr>
                <w:sz w:val="20"/>
                <w:szCs w:val="20"/>
              </w:rPr>
              <w:t>finansēšanas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NordForsk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konkursos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LZP</w:t>
            </w:r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1.3.3.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Palielināt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Latvijas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dalību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starptautiskās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pētniecības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inovācijas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programmās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iniciatīvās</w:t>
            </w:r>
            <w:proofErr w:type="spellEnd"/>
          </w:p>
        </w:tc>
      </w:tr>
      <w:tr w:rsidR="00985FA7">
        <w:trPr>
          <w:trHeight w:val="75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1.3.3.1.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Nodrošināt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Apvārsnis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Eiropa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Eiropas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Partnerībās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atbilstoši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stratēģiskajām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nacionālajām</w:t>
            </w:r>
            <w:proofErr w:type="spellEnd"/>
            <w:r>
              <w:rPr>
                <w:sz w:val="20"/>
                <w:szCs w:val="20"/>
              </w:rPr>
              <w:t xml:space="preserve"> P&amp;I </w:t>
            </w:r>
            <w:proofErr w:type="spellStart"/>
            <w:r>
              <w:rPr>
                <w:sz w:val="20"/>
                <w:szCs w:val="20"/>
              </w:rPr>
              <w:t>prioritātēm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EM, ZM, VM, KM, LZP, LIAA</w:t>
            </w:r>
          </w:p>
        </w:tc>
      </w:tr>
      <w:tr w:rsidR="00985FA7">
        <w:trPr>
          <w:trHeight w:val="102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1.3.3.2.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Nodrošināt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Eiropas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Kopfinansētajās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programmās</w:t>
            </w:r>
            <w:proofErr w:type="spellEnd"/>
            <w:r>
              <w:rPr>
                <w:sz w:val="20"/>
                <w:szCs w:val="20"/>
              </w:rPr>
              <w:t xml:space="preserve">, t.sk. </w:t>
            </w:r>
            <w:proofErr w:type="spellStart"/>
            <w:r>
              <w:rPr>
                <w:sz w:val="20"/>
                <w:szCs w:val="20"/>
              </w:rPr>
              <w:t>Kopējās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programmēšanas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iniciatīvās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Eiropas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Inovāciju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Tehnoloģiju</w:t>
            </w:r>
            <w:proofErr w:type="spellEnd"/>
            <w:r>
              <w:rPr>
                <w:sz w:val="20"/>
                <w:szCs w:val="20"/>
              </w:rPr>
              <w:t xml:space="preserve"> (EIT) </w:t>
            </w:r>
            <w:proofErr w:type="spellStart"/>
            <w:r>
              <w:rPr>
                <w:sz w:val="20"/>
                <w:szCs w:val="20"/>
              </w:rPr>
              <w:t>institūta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aktivitātēs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EM, ZM, VM, KM, LZP, LIAA</w:t>
            </w:r>
          </w:p>
        </w:tc>
      </w:tr>
      <w:tr w:rsidR="00985FA7">
        <w:trPr>
          <w:trHeight w:val="75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1.3.3.3.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Ieviest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jaunā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instrumenta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iniciatīvu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Apvārsnis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Eiropa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pārfinansēšanai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Latvijas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dalībniekam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EM, LIAA, LZP</w:t>
            </w:r>
          </w:p>
        </w:tc>
      </w:tr>
      <w:tr w:rsidR="00985FA7">
        <w:trPr>
          <w:trHeight w:val="75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1.3.3.4.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Veicināt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bilaterālo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trilaterālo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sadarbību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zinātnē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tehnoloģiju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attīstībā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ārvalstīm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LZP, LZA</w:t>
            </w:r>
          </w:p>
        </w:tc>
      </w:tr>
      <w:tr w:rsidR="00985FA7">
        <w:trPr>
          <w:trHeight w:val="75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1.3.3.5.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Atbalsts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sinerģijām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mērogošanai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sekmīgajiem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projektiem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turpmākas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kapacitātes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attīstīšanai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EM, ZM, VM, KM, LZP, LIAA</w:t>
            </w:r>
          </w:p>
        </w:tc>
      </w:tr>
      <w:tr w:rsidR="00985FA7">
        <w:trPr>
          <w:trHeight w:val="485"/>
        </w:trPr>
        <w:tc>
          <w:tcPr>
            <w:tcW w:w="9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CC37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1.4. </w:t>
            </w:r>
            <w:proofErr w:type="spellStart"/>
            <w:r>
              <w:rPr>
                <w:b/>
              </w:rPr>
              <w:t>Rīcības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virziens</w:t>
            </w:r>
            <w:proofErr w:type="spellEnd"/>
            <w:r>
              <w:rPr>
                <w:b/>
              </w:rPr>
              <w:t xml:space="preserve">. P&amp;A </w:t>
            </w:r>
            <w:proofErr w:type="spellStart"/>
            <w:r>
              <w:rPr>
                <w:b/>
              </w:rPr>
              <w:t>sistēmas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pārvaldība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koordinācija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monitorings</w:t>
            </w:r>
            <w:proofErr w:type="spellEnd"/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1.4.2.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Izveidot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koordinētu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efektīvu</w:t>
            </w:r>
            <w:proofErr w:type="spellEnd"/>
            <w:r>
              <w:rPr>
                <w:b/>
                <w:sz w:val="20"/>
                <w:szCs w:val="20"/>
              </w:rPr>
              <w:t xml:space="preserve"> ZTAI </w:t>
            </w:r>
            <w:proofErr w:type="spellStart"/>
            <w:r>
              <w:rPr>
                <w:b/>
                <w:sz w:val="20"/>
                <w:szCs w:val="20"/>
              </w:rPr>
              <w:t>politikas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ieviešanas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pārvaldības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mehānismu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985FA7">
        <w:trPr>
          <w:trHeight w:val="102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1.4.2.1.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Attīstīt</w:t>
            </w:r>
            <w:proofErr w:type="spellEnd"/>
            <w:r>
              <w:rPr>
                <w:sz w:val="20"/>
                <w:szCs w:val="20"/>
              </w:rPr>
              <w:t xml:space="preserve"> LZP par </w:t>
            </w:r>
            <w:proofErr w:type="spellStart"/>
            <w:r>
              <w:rPr>
                <w:sz w:val="20"/>
                <w:szCs w:val="20"/>
              </w:rPr>
              <w:t>zinātnes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ieviešanas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pārvaldības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galveno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institūciju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attīstot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funkcijas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stiprinot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administratīvo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organizatorisko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analītisko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koordinācijas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kapacitāti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LZP</w:t>
            </w:r>
          </w:p>
        </w:tc>
      </w:tr>
      <w:tr w:rsidR="00985FA7">
        <w:trPr>
          <w:trHeight w:val="75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1.4.2.2.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Stiprināt</w:t>
            </w:r>
            <w:proofErr w:type="spellEnd"/>
            <w:r>
              <w:rPr>
                <w:sz w:val="20"/>
                <w:szCs w:val="20"/>
              </w:rPr>
              <w:t xml:space="preserve"> LIAA </w:t>
            </w:r>
            <w:proofErr w:type="spellStart"/>
            <w:r>
              <w:rPr>
                <w:sz w:val="20"/>
                <w:szCs w:val="20"/>
              </w:rPr>
              <w:t>kapacitāti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efektīvas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inovācijas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ieviešanai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atbalstam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koordinācijai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IZM, LIAA, LZP, PKC, VK   </w:t>
            </w:r>
            <w:r>
              <w:rPr>
                <w:sz w:val="20"/>
                <w:szCs w:val="20"/>
              </w:rPr>
              <w:tab/>
            </w:r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1.4.3.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Stiprināt</w:t>
            </w:r>
            <w:proofErr w:type="spellEnd"/>
            <w:r>
              <w:rPr>
                <w:b/>
                <w:sz w:val="20"/>
                <w:szCs w:val="20"/>
              </w:rPr>
              <w:t xml:space="preserve"> P&amp;A </w:t>
            </w:r>
            <w:proofErr w:type="spellStart"/>
            <w:r>
              <w:rPr>
                <w:b/>
                <w:sz w:val="20"/>
                <w:szCs w:val="20"/>
              </w:rPr>
              <w:t>sistēmas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pārvaldības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analītisko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kapacitāti</w:t>
            </w:r>
            <w:proofErr w:type="spellEnd"/>
            <w:r>
              <w:rPr>
                <w:b/>
                <w:sz w:val="20"/>
                <w:szCs w:val="20"/>
              </w:rPr>
              <w:t xml:space="preserve"> RIS3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vadībai</w:t>
            </w:r>
            <w:proofErr w:type="spellEnd"/>
            <w:r>
              <w:rPr>
                <w:b/>
                <w:sz w:val="20"/>
                <w:szCs w:val="20"/>
              </w:rPr>
              <w:t xml:space="preserve">,  </w:t>
            </w:r>
            <w:proofErr w:type="spellStart"/>
            <w:r>
              <w:rPr>
                <w:b/>
                <w:sz w:val="20"/>
                <w:szCs w:val="20"/>
              </w:rPr>
              <w:t>ieviešanai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efektīvam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monitoringam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tostarp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stiprinot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starptautisko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koordināciju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pārstāvniecību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985FA7">
        <w:trPr>
          <w:trHeight w:val="131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1.4.3.1.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Nodrošināt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operatīvu</w:t>
            </w:r>
            <w:proofErr w:type="spellEnd"/>
            <w:r>
              <w:rPr>
                <w:sz w:val="20"/>
                <w:szCs w:val="20"/>
              </w:rPr>
              <w:t xml:space="preserve"> P&amp;A </w:t>
            </w:r>
            <w:proofErr w:type="spellStart"/>
            <w:r>
              <w:rPr>
                <w:sz w:val="20"/>
                <w:szCs w:val="20"/>
              </w:rPr>
              <w:t>sistēmas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monitoringu</w:t>
            </w:r>
            <w:proofErr w:type="spellEnd"/>
            <w:r>
              <w:rPr>
                <w:sz w:val="20"/>
                <w:szCs w:val="20"/>
              </w:rPr>
              <w:t xml:space="preserve"> un P&amp;A </w:t>
            </w:r>
            <w:proofErr w:type="spellStart"/>
            <w:r>
              <w:rPr>
                <w:sz w:val="20"/>
                <w:szCs w:val="20"/>
              </w:rPr>
              <w:t>datu</w:t>
            </w:r>
            <w:proofErr w:type="spellEnd"/>
            <w:r>
              <w:rPr>
                <w:sz w:val="20"/>
                <w:szCs w:val="20"/>
              </w:rPr>
              <w:t xml:space="preserve"> (t.sk. </w:t>
            </w:r>
            <w:proofErr w:type="spellStart"/>
            <w:r>
              <w:rPr>
                <w:sz w:val="20"/>
                <w:szCs w:val="20"/>
              </w:rPr>
              <w:t>reģionālā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griezumā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savietojamību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vienotā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pārraudzības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sistēmā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dažādām</w:t>
            </w:r>
            <w:proofErr w:type="spellEnd"/>
            <w:r>
              <w:rPr>
                <w:sz w:val="20"/>
                <w:szCs w:val="20"/>
              </w:rPr>
              <w:t xml:space="preserve"> P&amp;A </w:t>
            </w:r>
            <w:proofErr w:type="spellStart"/>
            <w:r>
              <w:rPr>
                <w:sz w:val="20"/>
                <w:szCs w:val="20"/>
              </w:rPr>
              <w:t>programmām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analīzē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balstītas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plānošanai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pārvaldībai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EM, VM, KM, </w:t>
            </w:r>
            <w:proofErr w:type="gramStart"/>
            <w:r>
              <w:rPr>
                <w:sz w:val="20"/>
                <w:szCs w:val="20"/>
              </w:rPr>
              <w:t>ZM,  VARAM</w:t>
            </w:r>
            <w:proofErr w:type="gramEnd"/>
            <w:r>
              <w:rPr>
                <w:sz w:val="20"/>
                <w:szCs w:val="20"/>
              </w:rPr>
              <w:t>, LZP, LI</w:t>
            </w:r>
            <w:r>
              <w:rPr>
                <w:sz w:val="20"/>
                <w:szCs w:val="20"/>
              </w:rPr>
              <w:t xml:space="preserve">AA, </w:t>
            </w:r>
            <w:proofErr w:type="spellStart"/>
            <w:r>
              <w:rPr>
                <w:sz w:val="20"/>
                <w:szCs w:val="20"/>
              </w:rPr>
              <w:t>plānošanas</w:t>
            </w:r>
            <w:proofErr w:type="spellEnd"/>
          </w:p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reģioni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ab/>
            </w:r>
          </w:p>
        </w:tc>
      </w:tr>
      <w:tr w:rsidR="00985FA7">
        <w:trPr>
          <w:trHeight w:val="93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1.4.3.2.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Nodrošināt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Latvijas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interešu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starptautisko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pārstāvību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koordināciju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komunikācijas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apriti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visas </w:t>
            </w:r>
            <w:proofErr w:type="spellStart"/>
            <w:r>
              <w:rPr>
                <w:sz w:val="20"/>
                <w:szCs w:val="20"/>
              </w:rPr>
              <w:t>ministrijas</w:t>
            </w:r>
            <w:proofErr w:type="spellEnd"/>
            <w:r>
              <w:rPr>
                <w:sz w:val="20"/>
                <w:szCs w:val="20"/>
              </w:rPr>
              <w:t xml:space="preserve">, LZP, LIAA, </w:t>
            </w:r>
            <w:proofErr w:type="spellStart"/>
            <w:r>
              <w:rPr>
                <w:sz w:val="20"/>
                <w:szCs w:val="20"/>
              </w:rPr>
              <w:t>plānošanas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reģioni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ab/>
            </w:r>
          </w:p>
        </w:tc>
      </w:tr>
      <w:tr w:rsidR="00985FA7">
        <w:trPr>
          <w:trHeight w:val="131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1.4.2.3.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Pilnveidot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Nacionālās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zinātniskās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darbības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sistēmas</w:t>
            </w:r>
            <w:proofErr w:type="spellEnd"/>
            <w:r>
              <w:rPr>
                <w:sz w:val="20"/>
                <w:szCs w:val="20"/>
              </w:rPr>
              <w:t xml:space="preserve"> (NZDIS) </w:t>
            </w:r>
            <w:proofErr w:type="spellStart"/>
            <w:r>
              <w:rPr>
                <w:sz w:val="20"/>
                <w:szCs w:val="20"/>
              </w:rPr>
              <w:t>funkcionalitāti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uzkrāšanai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zinātnisko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institūciju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veidotāju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līmenī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monitoringam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prognozēšanai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(forecasting)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LZP</w:t>
            </w:r>
          </w:p>
        </w:tc>
      </w:tr>
      <w:tr w:rsidR="00985FA7">
        <w:trPr>
          <w:trHeight w:val="485"/>
        </w:trPr>
        <w:tc>
          <w:tcPr>
            <w:tcW w:w="9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2.1. </w:t>
            </w:r>
            <w:proofErr w:type="spellStart"/>
            <w:r>
              <w:rPr>
                <w:b/>
              </w:rPr>
              <w:t>Rīcības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virziens</w:t>
            </w:r>
            <w:proofErr w:type="spellEnd"/>
            <w:r>
              <w:rPr>
                <w:b/>
              </w:rPr>
              <w:t xml:space="preserve">. P&amp;A </w:t>
            </w:r>
            <w:proofErr w:type="spellStart"/>
            <w:r>
              <w:rPr>
                <w:b/>
              </w:rPr>
              <w:t>sistēmas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digitālā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transformācija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atvērtā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zinātne</w:t>
            </w:r>
            <w:proofErr w:type="spellEnd"/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2.1.1.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Veicināt</w:t>
            </w:r>
            <w:proofErr w:type="spellEnd"/>
            <w:r>
              <w:rPr>
                <w:b/>
                <w:sz w:val="20"/>
                <w:szCs w:val="20"/>
              </w:rPr>
              <w:t xml:space="preserve"> P&amp;A </w:t>
            </w:r>
            <w:proofErr w:type="spellStart"/>
            <w:r>
              <w:rPr>
                <w:b/>
                <w:sz w:val="20"/>
                <w:szCs w:val="20"/>
              </w:rPr>
              <w:t>sistēmas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digitālo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transformāciju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atvērtās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zinātnes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attīstību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pētniecības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datu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rezultātu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plašu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pieejamību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lietojamību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sabiedrībā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985FA7">
        <w:trPr>
          <w:trHeight w:val="102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2.1.1.1.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Veikt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nacionāla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mēroga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ietekmes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izvērtējumu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izstrādāt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vadlīnijas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pētniekiem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zinātniskajām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institūcijām</w:t>
            </w:r>
            <w:proofErr w:type="spellEnd"/>
            <w:r>
              <w:rPr>
                <w:sz w:val="20"/>
                <w:szCs w:val="20"/>
              </w:rPr>
              <w:t xml:space="preserve"> par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ietekmes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veidošanu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paplašināšanu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EM, LZP, LIAA, PKC, VK                    </w:t>
            </w:r>
            <w:r>
              <w:rPr>
                <w:sz w:val="20"/>
                <w:szCs w:val="20"/>
              </w:rPr>
              <w:tab/>
            </w:r>
          </w:p>
        </w:tc>
      </w:tr>
      <w:tr w:rsidR="00985FA7">
        <w:trPr>
          <w:trHeight w:val="485"/>
        </w:trPr>
        <w:tc>
          <w:tcPr>
            <w:tcW w:w="9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CC37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2.2. </w:t>
            </w:r>
            <w:proofErr w:type="spellStart"/>
            <w:r>
              <w:rPr>
                <w:b/>
              </w:rPr>
              <w:t>Rīcības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virziens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Zināšanu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tehnoloģiju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pārnese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inovācijas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attīstīšanai</w:t>
            </w:r>
            <w:proofErr w:type="spellEnd"/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</w:t>
            </w:r>
          </w:p>
        </w:tc>
      </w:tr>
      <w:tr w:rsidR="00985FA7">
        <w:trPr>
          <w:trHeight w:val="69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Sekmēt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sadarbību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efektīvu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zināšanu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tehnoloģiju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pārnesi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starp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augstskolām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zinātniskajiem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institūtiem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uzņēmumiem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publisko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pārvaldi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cita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starpā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nodrošinot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pētniecības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infrastruktūru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pieejamību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koplietošanu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nacionālā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starptautiskā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mērogā</w:t>
            </w:r>
            <w:proofErr w:type="spellEnd"/>
            <w:r>
              <w:rPr>
                <w:b/>
                <w:sz w:val="20"/>
                <w:szCs w:val="20"/>
              </w:rPr>
              <w:t>, t.sk</w:t>
            </w:r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pilotprojektu</w:t>
            </w:r>
            <w:proofErr w:type="spellEnd"/>
            <w:r>
              <w:rPr>
                <w:b/>
                <w:sz w:val="20"/>
                <w:szCs w:val="20"/>
              </w:rPr>
              <w:t>, “</w:t>
            </w:r>
            <w:proofErr w:type="spellStart"/>
            <w:r>
              <w:rPr>
                <w:b/>
                <w:sz w:val="20"/>
                <w:szCs w:val="20"/>
              </w:rPr>
              <w:t>dzīvo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laboratoriju</w:t>
            </w:r>
            <w:proofErr w:type="spellEnd"/>
            <w:r>
              <w:rPr>
                <w:b/>
                <w:sz w:val="20"/>
                <w:szCs w:val="20"/>
              </w:rPr>
              <w:t xml:space="preserve">” un </w:t>
            </w:r>
            <w:proofErr w:type="spellStart"/>
            <w:r>
              <w:rPr>
                <w:b/>
                <w:sz w:val="20"/>
                <w:szCs w:val="20"/>
              </w:rPr>
              <w:t>demonstrācijas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īstenošanai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985FA7">
        <w:trPr>
          <w:trHeight w:val="131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2.2.1.3.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rezultātu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tehnoloģijas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eksperimentālai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attīstībai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validācijai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demonstrācijai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industrijas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vidē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augstu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potenciālu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inovatīvu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irgus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orientētu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produktu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pakalpojumu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radīšanai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Tirgus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orientētu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pētījumu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EM, LZP</w:t>
            </w:r>
          </w:p>
        </w:tc>
      </w:tr>
      <w:tr w:rsidR="00985FA7">
        <w:trPr>
          <w:trHeight w:val="213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2.2.1.4.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Sekmēt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inovācijas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demonstrācijas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projektu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pilotprojektu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īstenošanu</w:t>
            </w:r>
            <w:proofErr w:type="spellEnd"/>
            <w:r>
              <w:rPr>
                <w:sz w:val="20"/>
                <w:szCs w:val="20"/>
              </w:rPr>
              <w:t xml:space="preserve">, t.sk. </w:t>
            </w:r>
            <w:proofErr w:type="spellStart"/>
            <w:r>
              <w:rPr>
                <w:sz w:val="20"/>
                <w:szCs w:val="20"/>
              </w:rPr>
              <w:t>digitālās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eko-inovācijas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attīstībai</w:t>
            </w:r>
            <w:proofErr w:type="spellEnd"/>
            <w:r>
              <w:rPr>
                <w:sz w:val="20"/>
                <w:szCs w:val="20"/>
              </w:rPr>
              <w:t xml:space="preserve"> RIS3 </w:t>
            </w:r>
            <w:proofErr w:type="spellStart"/>
            <w:r>
              <w:rPr>
                <w:sz w:val="20"/>
                <w:szCs w:val="20"/>
              </w:rPr>
              <w:t>specializācijas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jomās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jomās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horziontālu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ietekmi</w:t>
            </w:r>
            <w:proofErr w:type="spellEnd"/>
            <w:r>
              <w:rPr>
                <w:sz w:val="20"/>
                <w:szCs w:val="20"/>
              </w:rPr>
              <w:t xml:space="preserve">, RIS3 </w:t>
            </w:r>
            <w:proofErr w:type="spellStart"/>
            <w:r>
              <w:rPr>
                <w:sz w:val="20"/>
                <w:szCs w:val="20"/>
              </w:rPr>
              <w:t>vērtību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ķēžu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ekosistēmu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reģionālo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inovācijas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zināšanu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platformu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ietvaros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sadarbībā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RIS3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inovācijas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izcilības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centriem</w:t>
            </w:r>
            <w:proofErr w:type="spellEnd"/>
            <w:r>
              <w:rPr>
                <w:sz w:val="20"/>
                <w:szCs w:val="20"/>
              </w:rPr>
              <w:t xml:space="preserve">, t.sk. </w:t>
            </w:r>
            <w:proofErr w:type="spellStart"/>
            <w:r>
              <w:rPr>
                <w:sz w:val="20"/>
                <w:szCs w:val="20"/>
              </w:rPr>
              <w:t>veidojot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Atvērtās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laboratorijas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principiem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atbilstošus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sadarbības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mehānismus</w:t>
            </w:r>
            <w:proofErr w:type="spellEnd"/>
            <w:r>
              <w:rPr>
                <w:sz w:val="20"/>
                <w:szCs w:val="20"/>
              </w:rPr>
              <w:t xml:space="preserve">                           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EM, 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LIAA, LZP, VARAM, </w:t>
            </w:r>
            <w:proofErr w:type="spellStart"/>
            <w:r>
              <w:rPr>
                <w:sz w:val="20"/>
                <w:szCs w:val="20"/>
              </w:rPr>
              <w:t>augstskolas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zinātniskās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institūcij</w:t>
            </w:r>
            <w:r>
              <w:rPr>
                <w:sz w:val="20"/>
                <w:szCs w:val="20"/>
              </w:rPr>
              <w:t>as</w:t>
            </w:r>
            <w:proofErr w:type="spellEnd"/>
            <w:r>
              <w:rPr>
                <w:sz w:val="20"/>
                <w:szCs w:val="20"/>
              </w:rPr>
              <w:t xml:space="preserve">, LZA, </w:t>
            </w:r>
            <w:proofErr w:type="spellStart"/>
            <w:r>
              <w:rPr>
                <w:sz w:val="20"/>
                <w:szCs w:val="20"/>
              </w:rPr>
              <w:t>plānošanas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reģioni</w:t>
            </w:r>
            <w:proofErr w:type="spellEnd"/>
          </w:p>
        </w:tc>
      </w:tr>
      <w:tr w:rsidR="00985FA7">
        <w:trPr>
          <w:trHeight w:val="485"/>
        </w:trPr>
        <w:tc>
          <w:tcPr>
            <w:tcW w:w="9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2.3. </w:t>
            </w:r>
            <w:proofErr w:type="spellStart"/>
            <w:r>
              <w:rPr>
                <w:b/>
              </w:rPr>
              <w:t>Rīcības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virziens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Sadarbība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starp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pētniecības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publisko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sektoru</w:t>
            </w:r>
            <w:proofErr w:type="spellEnd"/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2.3.1.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Veicināt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publiskā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sektora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pasūtījumu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pētniecībai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inovācijai</w:t>
            </w:r>
            <w:proofErr w:type="spellEnd"/>
            <w:r>
              <w:rPr>
                <w:b/>
                <w:sz w:val="20"/>
                <w:szCs w:val="20"/>
              </w:rPr>
              <w:t xml:space="preserve">, t.sk. </w:t>
            </w:r>
            <w:proofErr w:type="spellStart"/>
            <w:r>
              <w:rPr>
                <w:b/>
                <w:sz w:val="20"/>
                <w:szCs w:val="20"/>
              </w:rPr>
              <w:t>nodrošinot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atvērtu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pētījumu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rezultātu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datu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pieejamību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985FA7">
        <w:trPr>
          <w:trHeight w:val="102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2.3.1.1.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Veidot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valsts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pētījumu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u.c.</w:t>
            </w:r>
            <w:proofErr w:type="spellEnd"/>
            <w:r>
              <w:rPr>
                <w:sz w:val="20"/>
                <w:szCs w:val="20"/>
              </w:rPr>
              <w:t xml:space="preserve"> P&amp;I </w:t>
            </w:r>
            <w:proofErr w:type="spellStart"/>
            <w:r>
              <w:rPr>
                <w:sz w:val="20"/>
                <w:szCs w:val="20"/>
              </w:rPr>
              <w:t>pasūtījuma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formātus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Latvijas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ilgtspējai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nozaru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stratēģiskai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attīs</w:t>
            </w:r>
            <w:r>
              <w:rPr>
                <w:sz w:val="20"/>
                <w:szCs w:val="20"/>
              </w:rPr>
              <w:t>tībai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nozīmīgu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aktuālu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jautājumu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identificēšanai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padziļinātai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izpratnei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risināšanai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visas </w:t>
            </w:r>
            <w:proofErr w:type="spellStart"/>
            <w:r>
              <w:rPr>
                <w:sz w:val="20"/>
                <w:szCs w:val="20"/>
              </w:rPr>
              <w:t>ministrijas</w:t>
            </w:r>
            <w:proofErr w:type="spellEnd"/>
            <w:r>
              <w:rPr>
                <w:sz w:val="20"/>
                <w:szCs w:val="20"/>
              </w:rPr>
              <w:t>, LZP, PKC, VK</w:t>
            </w:r>
          </w:p>
        </w:tc>
      </w:tr>
      <w:tr w:rsidR="00985FA7">
        <w:trPr>
          <w:trHeight w:val="485"/>
        </w:trPr>
        <w:tc>
          <w:tcPr>
            <w:tcW w:w="9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2.4. </w:t>
            </w:r>
            <w:proofErr w:type="spellStart"/>
            <w:r>
              <w:rPr>
                <w:b/>
              </w:rPr>
              <w:t>Rīcības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virziens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Zinātnes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komunikācija</w:t>
            </w:r>
            <w:proofErr w:type="spellEnd"/>
          </w:p>
        </w:tc>
      </w:tr>
      <w:tr w:rsidR="00985FA7">
        <w:trPr>
          <w:trHeight w:val="4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2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Nodrošināt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stratēģisku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zinātnes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komunikāciju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zinātnes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pētniecības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popularizēšanai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prestiža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paaugstināšanai</w:t>
            </w:r>
            <w:proofErr w:type="spellEnd"/>
            <w:r>
              <w:rPr>
                <w:b/>
                <w:sz w:val="20"/>
                <w:szCs w:val="20"/>
              </w:rPr>
              <w:t xml:space="preserve">, un </w:t>
            </w:r>
            <w:proofErr w:type="spellStart"/>
            <w:r>
              <w:rPr>
                <w:b/>
                <w:sz w:val="20"/>
                <w:szCs w:val="20"/>
              </w:rPr>
              <w:t>sabiedrības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izpratnes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veidošanai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nacionālā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gan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starptautiskā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mērogā</w:t>
            </w:r>
            <w:proofErr w:type="spellEnd"/>
          </w:p>
        </w:tc>
      </w:tr>
      <w:tr w:rsidR="00985FA7">
        <w:trPr>
          <w:trHeight w:val="158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2.4.1.1.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Īstenot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sabiedrības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informēšanas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izglītošanas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pasākum</w:t>
            </w:r>
            <w:r>
              <w:rPr>
                <w:sz w:val="20"/>
                <w:szCs w:val="20"/>
              </w:rPr>
              <w:t>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dažādām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mērķauditorijām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rezultātu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stratēģiskai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izplatīšanai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zinātnes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popularizēšanai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sabiedrības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ieinteresēto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iepazīstināšanai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Latvijas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vidi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tās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pārstāvjiem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resursiem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sasniegumiem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EM, LZP, LIAA, PKC, VK,</w:t>
            </w:r>
            <w:r>
              <w:rPr>
                <w:sz w:val="20"/>
                <w:szCs w:val="20"/>
              </w:rPr>
              <w:t xml:space="preserve"> LZA</w:t>
            </w:r>
          </w:p>
        </w:tc>
      </w:tr>
      <w:tr w:rsidR="00985FA7">
        <w:trPr>
          <w:trHeight w:val="102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2.4.1.2.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Stiprināt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skolu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augstskolu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zinātnisko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institūciju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sadarbību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veicinot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zinātnes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komunikāciju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skolās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sekmējot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daudzveidīgu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skolēnu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zinātniskās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pētniecības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darbību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nacionālā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starptautiskā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līmenī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A7" w:rsidRDefault="00950E5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EM, ZM, VM, KM, LZP, VIAA, LZA, </w:t>
            </w:r>
            <w:proofErr w:type="spellStart"/>
            <w:r>
              <w:rPr>
                <w:sz w:val="20"/>
                <w:szCs w:val="20"/>
              </w:rPr>
              <w:t>augstskolas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zinātniskās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institūcijas</w:t>
            </w:r>
            <w:proofErr w:type="spellEnd"/>
          </w:p>
        </w:tc>
      </w:tr>
    </w:tbl>
    <w:p w:rsidR="00985FA7" w:rsidRDefault="00950E58">
      <w:pPr>
        <w:spacing w:before="240" w:after="240"/>
      </w:pPr>
      <w:r>
        <w:t xml:space="preserve"> </w:t>
      </w:r>
    </w:p>
    <w:p w:rsidR="00985FA7" w:rsidRDefault="00985FA7"/>
    <w:sectPr w:rsidR="00985F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A7"/>
    <w:rsid w:val="00950E58"/>
    <w:rsid w:val="0098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AAB54-3BF9-48E0-8F9A-C28AAAB7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5427</Words>
  <Characters>3094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Evita Vilumsone</cp:lastModifiedBy>
  <cp:revision>2</cp:revision>
  <dcterms:created xsi:type="dcterms:W3CDTF">2021-02-24T10:05:00Z</dcterms:created>
  <dcterms:modified xsi:type="dcterms:W3CDTF">2021-02-24T10:05:00Z</dcterms:modified>
</cp:coreProperties>
</file>