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7DA1" w14:textId="71A2607C" w:rsidR="00EB3D2D" w:rsidRDefault="00F9699D" w:rsidP="001E2D49">
      <w:pPr>
        <w:jc w:val="center"/>
      </w:pPr>
      <w:r w:rsidRPr="009E0CBC">
        <w:rPr>
          <w:rFonts w:ascii="Times New Roman" w:hAnsi="Times New Roman"/>
          <w:noProof/>
          <w:sz w:val="20"/>
        </w:rPr>
        <w:drawing>
          <wp:inline distT="0" distB="0" distL="0" distR="0" wp14:anchorId="7D5C6BE1" wp14:editId="59B1B230">
            <wp:extent cx="4595837" cy="908994"/>
            <wp:effectExtent l="0" t="0" r="0" b="5715"/>
            <wp:docPr id="941673582"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73582"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2153" cy="912221"/>
                    </a:xfrm>
                    <a:prstGeom prst="rect">
                      <a:avLst/>
                    </a:prstGeom>
                  </pic:spPr>
                </pic:pic>
              </a:graphicData>
            </a:graphic>
          </wp:inline>
        </w:drawing>
      </w:r>
    </w:p>
    <w:p w14:paraId="6A94E6B5" w14:textId="77777777" w:rsidR="004B7B53" w:rsidRDefault="004B7B53" w:rsidP="001E2D49">
      <w:pPr>
        <w:spacing w:after="0"/>
        <w:jc w:val="center"/>
        <w:rPr>
          <w:rFonts w:ascii="Times New Roman" w:hAnsi="Times New Roman" w:cs="Times New Roman"/>
          <w:b/>
          <w:sz w:val="32"/>
          <w:szCs w:val="32"/>
        </w:rPr>
      </w:pPr>
    </w:p>
    <w:p w14:paraId="55EA8CD7" w14:textId="77777777" w:rsidR="00103049" w:rsidRPr="0049365A" w:rsidRDefault="00103049" w:rsidP="00103049">
      <w:pPr>
        <w:spacing w:after="0"/>
        <w:jc w:val="center"/>
        <w:rPr>
          <w:rFonts w:ascii="Times New Roman" w:hAnsi="Times New Roman" w:cs="Times New Roman"/>
          <w:b/>
          <w:sz w:val="32"/>
          <w:szCs w:val="32"/>
        </w:rPr>
      </w:pPr>
      <w:r w:rsidRPr="0049365A">
        <w:rPr>
          <w:rFonts w:ascii="Times New Roman" w:eastAsia="Times New Roman" w:hAnsi="Times New Roman"/>
          <w:b/>
          <w:sz w:val="32"/>
          <w:szCs w:val="32"/>
        </w:rPr>
        <w:t>1.1.1.9. pasākuma “Pēcdoktorantūras pētījumi”</w:t>
      </w:r>
    </w:p>
    <w:p w14:paraId="09DFA985" w14:textId="66730B81" w:rsidR="00CF5DF1" w:rsidRPr="004B7B53" w:rsidRDefault="00CF5DF1" w:rsidP="001E2D49">
      <w:pPr>
        <w:spacing w:after="0"/>
        <w:jc w:val="center"/>
        <w:rPr>
          <w:rFonts w:ascii="Times New Roman" w:hAnsi="Times New Roman" w:cs="Times New Roman"/>
          <w:b/>
          <w:sz w:val="32"/>
          <w:szCs w:val="32"/>
        </w:rPr>
      </w:pPr>
      <w:r w:rsidRPr="004B7B53">
        <w:rPr>
          <w:rFonts w:ascii="Times New Roman" w:hAnsi="Times New Roman" w:cs="Times New Roman"/>
          <w:b/>
          <w:sz w:val="32"/>
          <w:szCs w:val="32"/>
        </w:rPr>
        <w:t xml:space="preserve">Pēcdoktorantūras pētniecības pieteikumu īstenošanas </w:t>
      </w:r>
    </w:p>
    <w:p w14:paraId="64771A7F" w14:textId="75E55031" w:rsidR="00CF5DF1" w:rsidRDefault="00CF5DF1" w:rsidP="001E2D49">
      <w:pPr>
        <w:spacing w:after="0"/>
        <w:jc w:val="center"/>
        <w:rPr>
          <w:rFonts w:ascii="Times New Roman" w:hAnsi="Times New Roman" w:cs="Times New Roman"/>
          <w:b/>
          <w:sz w:val="32"/>
          <w:szCs w:val="32"/>
        </w:rPr>
      </w:pPr>
      <w:r w:rsidRPr="004B7B53">
        <w:rPr>
          <w:rFonts w:ascii="Times New Roman" w:hAnsi="Times New Roman" w:cs="Times New Roman"/>
          <w:b/>
          <w:sz w:val="32"/>
          <w:szCs w:val="32"/>
        </w:rPr>
        <w:t>vidusposma rezultātu zinātniskās kvalitātes izvērtēšanas</w:t>
      </w:r>
      <w:r w:rsidR="004B7B53" w:rsidRPr="004B7B53">
        <w:rPr>
          <w:rFonts w:ascii="Times New Roman" w:hAnsi="Times New Roman" w:cs="Times New Roman"/>
          <w:b/>
          <w:sz w:val="32"/>
          <w:szCs w:val="32"/>
        </w:rPr>
        <w:t xml:space="preserve"> vadlīnijas un vērtēšanas kritēriji</w:t>
      </w:r>
      <w:r w:rsidRPr="004B7B53">
        <w:rPr>
          <w:rFonts w:ascii="Times New Roman" w:hAnsi="Times New Roman" w:cs="Times New Roman"/>
          <w:b/>
          <w:sz w:val="32"/>
          <w:szCs w:val="32"/>
        </w:rPr>
        <w:t xml:space="preserve"> </w:t>
      </w:r>
    </w:p>
    <w:p w14:paraId="22D3702A" w14:textId="77777777" w:rsidR="004B7B53" w:rsidRDefault="004B7B53" w:rsidP="001E2D49">
      <w:pPr>
        <w:spacing w:after="0"/>
        <w:jc w:val="center"/>
        <w:rPr>
          <w:rFonts w:ascii="Times New Roman" w:hAnsi="Times New Roman" w:cs="Times New Roman"/>
          <w:b/>
          <w:sz w:val="32"/>
          <w:szCs w:val="32"/>
        </w:rPr>
      </w:pPr>
    </w:p>
    <w:p w14:paraId="2C90500B" w14:textId="77777777" w:rsidR="001E2D49" w:rsidRPr="001E2D49" w:rsidRDefault="001E2D49" w:rsidP="00E90A6D">
      <w:pPr>
        <w:pStyle w:val="ListParagraph"/>
        <w:numPr>
          <w:ilvl w:val="0"/>
          <w:numId w:val="31"/>
        </w:numPr>
        <w:tabs>
          <w:tab w:val="left" w:pos="284"/>
        </w:tabs>
        <w:spacing w:after="0"/>
        <w:ind w:left="0" w:firstLine="0"/>
        <w:jc w:val="both"/>
        <w:rPr>
          <w:rFonts w:ascii="Times New Roman" w:hAnsi="Times New Roman" w:cs="Times New Roman"/>
          <w:b/>
          <w:sz w:val="24"/>
          <w:szCs w:val="24"/>
        </w:rPr>
      </w:pPr>
      <w:r w:rsidRPr="001E2D49">
        <w:rPr>
          <w:rFonts w:ascii="Times New Roman" w:hAnsi="Times New Roman" w:cs="Times New Roman"/>
          <w:b/>
          <w:sz w:val="24"/>
          <w:szCs w:val="24"/>
        </w:rPr>
        <w:t>Ievads</w:t>
      </w:r>
    </w:p>
    <w:p w14:paraId="40EF940E" w14:textId="40E45332" w:rsidR="007953BC" w:rsidRDefault="0067767A" w:rsidP="001C6121">
      <w:pPr>
        <w:pStyle w:val="ListParagraph"/>
        <w:numPr>
          <w:ilvl w:val="1"/>
          <w:numId w:val="31"/>
        </w:numPr>
        <w:spacing w:after="0"/>
        <w:ind w:left="284"/>
        <w:jc w:val="both"/>
        <w:rPr>
          <w:rFonts w:ascii="Times New Roman" w:hAnsi="Times New Roman" w:cs="Times New Roman"/>
          <w:bCs/>
          <w:sz w:val="24"/>
          <w:szCs w:val="24"/>
        </w:rPr>
      </w:pPr>
      <w:r w:rsidRPr="00A433B9">
        <w:rPr>
          <w:rFonts w:ascii="Times New Roman" w:hAnsi="Times New Roman" w:cs="Times New Roman"/>
          <w:bCs/>
          <w:sz w:val="24"/>
          <w:szCs w:val="24"/>
        </w:rPr>
        <w:t>Pēcdoktorantūras programmas f</w:t>
      </w:r>
      <w:r w:rsidR="007953BC" w:rsidRPr="00A433B9">
        <w:rPr>
          <w:rFonts w:ascii="Times New Roman" w:hAnsi="Times New Roman" w:cs="Times New Roman"/>
          <w:bCs/>
          <w:sz w:val="24"/>
          <w:szCs w:val="24"/>
        </w:rPr>
        <w:t xml:space="preserve">inansējums </w:t>
      </w:r>
      <w:r w:rsidR="00157650" w:rsidRPr="00A433B9">
        <w:rPr>
          <w:rFonts w:ascii="Times New Roman" w:hAnsi="Times New Roman" w:cs="Times New Roman"/>
          <w:bCs/>
          <w:sz w:val="24"/>
          <w:szCs w:val="24"/>
        </w:rPr>
        <w:t>tiek</w:t>
      </w:r>
      <w:r w:rsidR="007953BC" w:rsidRPr="00A433B9">
        <w:rPr>
          <w:rFonts w:ascii="Times New Roman" w:hAnsi="Times New Roman" w:cs="Times New Roman"/>
          <w:bCs/>
          <w:sz w:val="24"/>
          <w:szCs w:val="24"/>
        </w:rPr>
        <w:t xml:space="preserve"> piešķirts Latvijas</w:t>
      </w:r>
      <w:r w:rsidR="007953BC" w:rsidRPr="001C6121">
        <w:rPr>
          <w:rFonts w:ascii="Times New Roman" w:hAnsi="Times New Roman" w:cs="Times New Roman"/>
          <w:bCs/>
          <w:sz w:val="24"/>
          <w:szCs w:val="24"/>
        </w:rPr>
        <w:t xml:space="preserve"> Republikas Zinātnisko institūciju reģistrā reģistrētai zinātniskai institūcijai (turpmāk – zinātniskā institūcija) vai Latvijas Republikas Uzņēmumu reģistrā reģistrētam sīkajam (mikro), mazajam, vidējam vai lielajam komersantam (turpmāk – komersants) individuāla pētniecības pieteikuma īstenošanai, kas ietver mācības, starptautisko mobilitāti un tīklošanās pasākumus. Pētniecības pieteikumu īsteno pēcdoktorants – Latvijas vai ārvalstu zinātnieks, kurš doktora grādu ieguvis ne agrāk kā desmit gadus pirms pētniecības pieteikuma iesniegšanas termiņa. Pēcdoktorants pētniecības pieteikumu īsteno zinātniskajā institūcijā vai pie komersanta, kas uzņem un nodrošina pieeju infrastruktūrai vai cilvēkresursiem pētniecības pieteikumu ietvaros nepieciešamo pētījumu īstenošanai. Pētniecības pieteikumu var īstenot partnerībā ar ārvalsts vai Latvijas zinātnisko institūciju, augstskolu, vai komersantu. Finansējums </w:t>
      </w:r>
      <w:r w:rsidR="001C6121" w:rsidRPr="001C6121">
        <w:rPr>
          <w:rFonts w:ascii="Times New Roman" w:hAnsi="Times New Roman" w:cs="Times New Roman"/>
          <w:bCs/>
          <w:sz w:val="24"/>
          <w:szCs w:val="24"/>
        </w:rPr>
        <w:t>tiek</w:t>
      </w:r>
      <w:r w:rsidR="007953BC" w:rsidRPr="001C6121">
        <w:rPr>
          <w:rFonts w:ascii="Times New Roman" w:hAnsi="Times New Roman" w:cs="Times New Roman"/>
          <w:bCs/>
          <w:sz w:val="24"/>
          <w:szCs w:val="24"/>
        </w:rPr>
        <w:t xml:space="preserve"> piešķirts fundamentālo un rūpniecisko pētījumu veikšanai. Pētniecības pieteikuma ietvaros var īstenot arī zināšanu un tehnoloģiju pārnesi, tehnoloģiju tiesību aizsardzību uz pētījuma izstrādes laikā radīto rūpnieciskā īpašuma objektu, pēcdoktoranta kompetenču pilnveidi, dalību starptautiskā mobilitātē un tīklošanās aktivitātēs.</w:t>
      </w:r>
    </w:p>
    <w:p w14:paraId="16ACB334" w14:textId="77777777" w:rsidR="00E74DF3" w:rsidRDefault="00E74DF3" w:rsidP="00E74DF3">
      <w:pPr>
        <w:pStyle w:val="ListParagraph"/>
        <w:spacing w:after="0"/>
        <w:ind w:left="284"/>
        <w:jc w:val="both"/>
        <w:rPr>
          <w:rFonts w:ascii="Times New Roman" w:hAnsi="Times New Roman" w:cs="Times New Roman"/>
          <w:bCs/>
          <w:sz w:val="24"/>
          <w:szCs w:val="24"/>
        </w:rPr>
      </w:pPr>
    </w:p>
    <w:p w14:paraId="006D67D0" w14:textId="65CAAA41" w:rsidR="00F00BA0" w:rsidRDefault="00E74DF3" w:rsidP="001C6121">
      <w:pPr>
        <w:pStyle w:val="ListParagraph"/>
        <w:numPr>
          <w:ilvl w:val="1"/>
          <w:numId w:val="31"/>
        </w:numPr>
        <w:spacing w:after="0"/>
        <w:ind w:left="284"/>
        <w:jc w:val="both"/>
        <w:rPr>
          <w:rFonts w:ascii="Times New Roman" w:hAnsi="Times New Roman" w:cs="Times New Roman"/>
          <w:bCs/>
          <w:sz w:val="24"/>
          <w:szCs w:val="24"/>
        </w:rPr>
      </w:pPr>
      <w:r w:rsidRPr="00450E95">
        <w:rPr>
          <w:rFonts w:ascii="Times New Roman" w:hAnsi="Times New Roman" w:cs="Times New Roman"/>
          <w:bCs/>
          <w:sz w:val="24"/>
          <w:szCs w:val="24"/>
        </w:rPr>
        <w:t xml:space="preserve"> </w:t>
      </w:r>
      <w:r w:rsidR="00F00BA0" w:rsidRPr="00450E95">
        <w:rPr>
          <w:rFonts w:ascii="Times New Roman" w:hAnsi="Times New Roman" w:cs="Times New Roman"/>
          <w:bCs/>
          <w:sz w:val="24"/>
          <w:szCs w:val="24"/>
        </w:rPr>
        <w:t>Pēcdoktorantūras pētniecības programma</w:t>
      </w:r>
      <w:r w:rsidR="001230C1">
        <w:rPr>
          <w:rStyle w:val="FootnoteReference"/>
          <w:rFonts w:ascii="Times New Roman" w:hAnsi="Times New Roman" w:cs="Times New Roman"/>
          <w:bCs/>
          <w:sz w:val="24"/>
          <w:szCs w:val="24"/>
        </w:rPr>
        <w:footnoteReference w:id="1"/>
      </w:r>
      <w:r w:rsidR="00F00BA0" w:rsidRPr="00450E95">
        <w:rPr>
          <w:rFonts w:ascii="Times New Roman" w:hAnsi="Times New Roman" w:cs="Times New Roman"/>
          <w:bCs/>
          <w:sz w:val="24"/>
          <w:szCs w:val="24"/>
        </w:rPr>
        <w:t xml:space="preserve"> paredz pētniecības pieteikuma īstenošanas uzraudzībai nodrošināt pētniecības pieteikumu vidusposma rezultātu zinātniskās kvalitātes vērtēšanu. Lai izvērtējumu veiktu, pētniecības pieteikumu īstenotāji ir iesnieguši ziņojumu par pēcdoktorantūras pētniecības pieteikuma īstenošanas progresu vidusposma rezultātu zinātniskās kvalitātes izvērtēšanai (turpmāk – ziņojums).</w:t>
      </w:r>
    </w:p>
    <w:p w14:paraId="66060B61" w14:textId="77777777" w:rsidR="00450E95" w:rsidRPr="00450E95" w:rsidRDefault="00450E95" w:rsidP="00450E95">
      <w:pPr>
        <w:pStyle w:val="ListParagraph"/>
        <w:rPr>
          <w:rFonts w:ascii="Times New Roman" w:hAnsi="Times New Roman" w:cs="Times New Roman"/>
          <w:bCs/>
          <w:sz w:val="24"/>
          <w:szCs w:val="24"/>
        </w:rPr>
      </w:pPr>
    </w:p>
    <w:p w14:paraId="700AB671" w14:textId="2A7801D4" w:rsidR="00450E95" w:rsidRDefault="00450E95" w:rsidP="001C6121">
      <w:pPr>
        <w:pStyle w:val="ListParagraph"/>
        <w:numPr>
          <w:ilvl w:val="1"/>
          <w:numId w:val="31"/>
        </w:numPr>
        <w:spacing w:after="0"/>
        <w:ind w:left="284"/>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74DF3">
        <w:rPr>
          <w:rFonts w:ascii="Times New Roman" w:hAnsi="Times New Roman" w:cs="Times New Roman"/>
          <w:bCs/>
          <w:sz w:val="24"/>
          <w:szCs w:val="24"/>
        </w:rPr>
        <w:t>Pētniecības pieteikumu vidusposma rezultātu zinātniskās kvalitātes vērtēšanu organizē Latvijas Zinātnes padome (turpmāk – padome).</w:t>
      </w:r>
    </w:p>
    <w:p w14:paraId="7839129D" w14:textId="77777777" w:rsidR="00C64E41" w:rsidRPr="00C64E41" w:rsidRDefault="00C64E41" w:rsidP="00C64E41">
      <w:pPr>
        <w:pStyle w:val="ListParagraph"/>
        <w:rPr>
          <w:rFonts w:ascii="Times New Roman" w:hAnsi="Times New Roman" w:cs="Times New Roman"/>
          <w:bCs/>
          <w:sz w:val="24"/>
          <w:szCs w:val="24"/>
        </w:rPr>
      </w:pPr>
    </w:p>
    <w:p w14:paraId="4A67A727" w14:textId="77777777" w:rsidR="00C64E41" w:rsidRPr="00EC27D5" w:rsidRDefault="00C64E41" w:rsidP="00C64E41">
      <w:pPr>
        <w:pStyle w:val="ListParagraph"/>
        <w:numPr>
          <w:ilvl w:val="1"/>
          <w:numId w:val="31"/>
        </w:numPr>
        <w:spacing w:after="0"/>
        <w:ind w:left="284"/>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C27D5">
        <w:rPr>
          <w:rFonts w:ascii="Times New Roman" w:hAnsi="Times New Roman" w:cs="Times New Roman"/>
          <w:bCs/>
          <w:sz w:val="24"/>
          <w:szCs w:val="24"/>
        </w:rPr>
        <w:t xml:space="preserve">Pētniecības pieteikuma vidusposma rezultātu zinātniskās kvalitātes vērtēšanas mērķis ir novērtēt apstiprināto pētniecības pieteikumu īstenošanas progresu un zinātnisko kvalitāti vidusposmā, lai nodrošinātu pētniecības kvalitāti un plānoto rezultātu sasniegšanu. Zinātniskā kvalitāte, sociālekonomiskā ietekme un pētniecības pieteikuma īstenošanas kvalitāte veido 3 kritērijus pētniecības pieteikumu īstenošanas progresa vērtēšanai. Lai veicinātu arī pēcdoktorantu pētniecības pieteikumu ieviešanas prasmju attīstību, būtiska ir pētniecības pieteikumu </w:t>
      </w:r>
      <w:r w:rsidRPr="00EC27D5">
        <w:rPr>
          <w:rFonts w:ascii="Times New Roman" w:hAnsi="Times New Roman" w:cs="Times New Roman"/>
          <w:bCs/>
          <w:sz w:val="24"/>
          <w:szCs w:val="24"/>
        </w:rPr>
        <w:lastRenderedPageBreak/>
        <w:t>vidusposma rezultātu zinātniskās kvalitātes vērtējumu argumentācija un saņemtās rekomendācijas par pētniecības pieteikumu ieviešanas uzlabošanas iespējām.</w:t>
      </w:r>
    </w:p>
    <w:p w14:paraId="420FC097" w14:textId="77777777" w:rsidR="007953BC" w:rsidRPr="007953BC" w:rsidRDefault="007953BC" w:rsidP="001C6121">
      <w:pPr>
        <w:spacing w:after="0"/>
        <w:ind w:left="284"/>
        <w:jc w:val="both"/>
        <w:rPr>
          <w:rFonts w:ascii="Times New Roman" w:hAnsi="Times New Roman" w:cs="Times New Roman"/>
          <w:bCs/>
          <w:sz w:val="24"/>
          <w:szCs w:val="24"/>
        </w:rPr>
      </w:pPr>
    </w:p>
    <w:p w14:paraId="6E5B06CE" w14:textId="77777777" w:rsidR="00AF283D" w:rsidRDefault="007953BC" w:rsidP="001E2D49">
      <w:pPr>
        <w:pStyle w:val="ListParagraph"/>
        <w:numPr>
          <w:ilvl w:val="1"/>
          <w:numId w:val="31"/>
        </w:numPr>
        <w:spacing w:after="0"/>
        <w:ind w:left="284"/>
        <w:jc w:val="both"/>
        <w:rPr>
          <w:rFonts w:ascii="Times New Roman" w:hAnsi="Times New Roman" w:cs="Times New Roman"/>
          <w:bCs/>
          <w:sz w:val="24"/>
          <w:szCs w:val="24"/>
        </w:rPr>
      </w:pPr>
      <w:r w:rsidRPr="001C6121">
        <w:rPr>
          <w:rFonts w:ascii="Times New Roman" w:hAnsi="Times New Roman" w:cs="Times New Roman"/>
          <w:bCs/>
          <w:sz w:val="24"/>
          <w:szCs w:val="24"/>
        </w:rPr>
        <w:t>Pētniecības pieteikumu īstenošanā ir atbalstāmas šādas darbības:</w:t>
      </w:r>
    </w:p>
    <w:p w14:paraId="72306088" w14:textId="76532262" w:rsidR="007953BC" w:rsidRPr="00AF283D" w:rsidRDefault="007953BC" w:rsidP="00F00BA0">
      <w:pPr>
        <w:spacing w:after="0"/>
        <w:ind w:left="284"/>
        <w:jc w:val="both"/>
        <w:rPr>
          <w:rFonts w:ascii="Times New Roman" w:hAnsi="Times New Roman" w:cs="Times New Roman"/>
          <w:bCs/>
          <w:sz w:val="24"/>
          <w:szCs w:val="24"/>
        </w:rPr>
      </w:pPr>
      <w:r w:rsidRPr="00AF283D">
        <w:rPr>
          <w:rFonts w:ascii="Times New Roman" w:hAnsi="Times New Roman" w:cs="Times New Roman"/>
          <w:bCs/>
          <w:sz w:val="24"/>
          <w:szCs w:val="24"/>
        </w:rPr>
        <w:t>1) pētniecība, kas ietver fundamentālo vai rūpniecisko pētījumu;</w:t>
      </w:r>
    </w:p>
    <w:p w14:paraId="44F4479A" w14:textId="77777777" w:rsidR="007953BC" w:rsidRPr="007953BC" w:rsidRDefault="007953BC" w:rsidP="00F00BA0">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2) tehnoloģiju tiesību iegūšana, apstiprināšana un aizstāvēšana par attiecīgā pētījuma ietvaros veikto darbību rezultātiem;</w:t>
      </w:r>
    </w:p>
    <w:p w14:paraId="6A6BC512" w14:textId="77777777" w:rsidR="007953BC" w:rsidRPr="007953BC" w:rsidRDefault="007953BC" w:rsidP="00F00BA0">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3) zinātnisko rakstu un publikāciju publicēšana, pētījumu rezultātu prezentēšana konferencēs un semināros, kā arī citu zināšanu pārvaldības pasākumu īstenošana;</w:t>
      </w:r>
    </w:p>
    <w:p w14:paraId="4374337B" w14:textId="77777777" w:rsidR="007953BC" w:rsidRPr="007953BC" w:rsidRDefault="007953BC" w:rsidP="00F00BA0">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4) bakalauru, maģistru un doktoru darbu vadīšana, recenzēšana, dalība noslēguma darbu komisijās;</w:t>
      </w:r>
    </w:p>
    <w:p w14:paraId="5BE7DDC2" w14:textId="77777777" w:rsidR="007953BC" w:rsidRPr="007953BC" w:rsidRDefault="007953BC" w:rsidP="00F00BA0">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5) pētniecības vai inovācijas projektu sagatavošana iesniegšanai Latvijas un starptautisko projektu konkursos;</w:t>
      </w:r>
    </w:p>
    <w:p w14:paraId="693340C7" w14:textId="77777777" w:rsidR="007953BC" w:rsidRPr="007953BC" w:rsidRDefault="007953BC" w:rsidP="00F00BA0">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6)  sabiedrības iesaiste pētniecības pieteikuma norisēs un informēšana par projekta rezultātiem, kas nav saistīti ar intelektuālā īpašuma tiesībām;</w:t>
      </w:r>
    </w:p>
    <w:p w14:paraId="6E49024F" w14:textId="77777777" w:rsidR="007953BC" w:rsidRPr="007953BC" w:rsidRDefault="007953BC" w:rsidP="00F00BA0">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7) kompetenču pilnveide (mācības);</w:t>
      </w:r>
    </w:p>
    <w:p w14:paraId="01EA7FBF" w14:textId="77777777" w:rsidR="007953BC" w:rsidRPr="007953BC" w:rsidRDefault="007953BC" w:rsidP="00F00BA0">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8) starptautiskā mobilitāte un tīklošanās.</w:t>
      </w:r>
    </w:p>
    <w:p w14:paraId="1C337D5C" w14:textId="77777777" w:rsidR="007953BC" w:rsidRPr="007953BC" w:rsidRDefault="007953BC" w:rsidP="001E2D49">
      <w:pPr>
        <w:spacing w:after="0"/>
        <w:jc w:val="both"/>
        <w:rPr>
          <w:rFonts w:ascii="Times New Roman" w:hAnsi="Times New Roman" w:cs="Times New Roman"/>
          <w:bCs/>
          <w:sz w:val="24"/>
          <w:szCs w:val="24"/>
        </w:rPr>
      </w:pPr>
    </w:p>
    <w:p w14:paraId="7E5CE406" w14:textId="7920EB3F" w:rsidR="007953BC" w:rsidRPr="000D1599" w:rsidRDefault="007953BC" w:rsidP="00F00BA0">
      <w:pPr>
        <w:pStyle w:val="ListParagraph"/>
        <w:numPr>
          <w:ilvl w:val="1"/>
          <w:numId w:val="31"/>
        </w:numPr>
        <w:tabs>
          <w:tab w:val="left" w:pos="426"/>
        </w:tabs>
        <w:spacing w:after="0"/>
        <w:ind w:left="284" w:hanging="284"/>
        <w:jc w:val="both"/>
        <w:rPr>
          <w:rFonts w:ascii="Times New Roman" w:hAnsi="Times New Roman" w:cs="Times New Roman"/>
          <w:bCs/>
          <w:sz w:val="24"/>
          <w:szCs w:val="24"/>
        </w:rPr>
      </w:pPr>
      <w:r w:rsidRPr="000D1599">
        <w:rPr>
          <w:rFonts w:ascii="Times New Roman" w:hAnsi="Times New Roman" w:cs="Times New Roman"/>
          <w:bCs/>
          <w:sz w:val="24"/>
          <w:szCs w:val="24"/>
        </w:rPr>
        <w:t>Pētniecības pieteikuma īstenošanā nav atbalstāmas šādas darbības:</w:t>
      </w:r>
    </w:p>
    <w:p w14:paraId="65ABFD7D" w14:textId="77777777" w:rsidR="007953BC" w:rsidRPr="007953BC" w:rsidRDefault="007953BC" w:rsidP="00407ADF">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1) studiju un metodisko materiālu sagatavošana;</w:t>
      </w:r>
    </w:p>
    <w:p w14:paraId="12289076" w14:textId="77777777" w:rsidR="007953BC" w:rsidRPr="007953BC" w:rsidRDefault="007953BC" w:rsidP="00407ADF">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2) lekciju sagatavošana un lasīšana;</w:t>
      </w:r>
    </w:p>
    <w:p w14:paraId="393AAF7F" w14:textId="77777777" w:rsidR="007953BC" w:rsidRPr="007953BC" w:rsidRDefault="007953BC" w:rsidP="00407ADF">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3) mājaslapu izstrāde;</w:t>
      </w:r>
    </w:p>
    <w:p w14:paraId="1B6B708F" w14:textId="77777777" w:rsidR="007953BC" w:rsidRPr="007953BC" w:rsidRDefault="007953BC" w:rsidP="00407ADF">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4) konferenču, semināru u.c. organizēšana;</w:t>
      </w:r>
    </w:p>
    <w:p w14:paraId="32215885" w14:textId="56239154" w:rsidR="007953BC" w:rsidRPr="007953BC" w:rsidRDefault="007953BC" w:rsidP="00407ADF">
      <w:pPr>
        <w:spacing w:after="0"/>
        <w:ind w:left="284"/>
        <w:jc w:val="both"/>
        <w:rPr>
          <w:rFonts w:ascii="Times New Roman" w:hAnsi="Times New Roman" w:cs="Times New Roman"/>
          <w:bCs/>
          <w:sz w:val="24"/>
          <w:szCs w:val="24"/>
        </w:rPr>
      </w:pPr>
      <w:r w:rsidRPr="007953BC">
        <w:rPr>
          <w:rFonts w:ascii="Times New Roman" w:hAnsi="Times New Roman" w:cs="Times New Roman"/>
          <w:bCs/>
          <w:sz w:val="24"/>
          <w:szCs w:val="24"/>
        </w:rPr>
        <w:t>5) ar pētījumu nesaistītu un pētījumā nepamatotu jaunu, atsevišķu IT sistēmu vai datubāžu izstrāde.</w:t>
      </w:r>
    </w:p>
    <w:p w14:paraId="444DC21B" w14:textId="77777777" w:rsidR="007953BC" w:rsidRDefault="007953BC" w:rsidP="00EC27D5">
      <w:pPr>
        <w:spacing w:after="0"/>
        <w:ind w:left="284"/>
        <w:jc w:val="both"/>
        <w:rPr>
          <w:rFonts w:ascii="Times New Roman" w:hAnsi="Times New Roman" w:cs="Times New Roman"/>
          <w:bCs/>
          <w:sz w:val="24"/>
          <w:szCs w:val="24"/>
        </w:rPr>
      </w:pPr>
    </w:p>
    <w:p w14:paraId="2814699C" w14:textId="0F186205" w:rsidR="00583B29" w:rsidRDefault="00583B29" w:rsidP="00285F71">
      <w:pPr>
        <w:pStyle w:val="ListParagraph"/>
        <w:numPr>
          <w:ilvl w:val="0"/>
          <w:numId w:val="31"/>
        </w:numPr>
        <w:tabs>
          <w:tab w:val="left" w:pos="142"/>
        </w:tabs>
        <w:spacing w:after="0"/>
        <w:ind w:left="284" w:hanging="426"/>
        <w:jc w:val="both"/>
        <w:rPr>
          <w:rFonts w:ascii="Times New Roman" w:hAnsi="Times New Roman" w:cs="Times New Roman"/>
          <w:b/>
          <w:sz w:val="24"/>
          <w:szCs w:val="24"/>
        </w:rPr>
      </w:pPr>
      <w:r w:rsidRPr="00285F71">
        <w:rPr>
          <w:rFonts w:ascii="Times New Roman" w:hAnsi="Times New Roman" w:cs="Times New Roman"/>
          <w:b/>
          <w:sz w:val="24"/>
          <w:szCs w:val="24"/>
        </w:rPr>
        <w:t>Eksperti</w:t>
      </w:r>
    </w:p>
    <w:p w14:paraId="60362BD2" w14:textId="193BF8EC" w:rsidR="004C6A72" w:rsidRDefault="00285F71" w:rsidP="004C6A72">
      <w:pPr>
        <w:pStyle w:val="ListParagraph"/>
        <w:numPr>
          <w:ilvl w:val="1"/>
          <w:numId w:val="31"/>
        </w:numPr>
        <w:tabs>
          <w:tab w:val="left" w:pos="142"/>
        </w:tabs>
        <w:ind w:left="284"/>
        <w:jc w:val="both"/>
        <w:rPr>
          <w:rFonts w:ascii="Times New Roman" w:hAnsi="Times New Roman" w:cs="Times New Roman"/>
          <w:sz w:val="24"/>
          <w:szCs w:val="24"/>
        </w:rPr>
      </w:pPr>
      <w:r w:rsidRPr="004C6A72">
        <w:rPr>
          <w:rFonts w:ascii="Times New Roman" w:hAnsi="Times New Roman" w:cs="Times New Roman"/>
          <w:sz w:val="24"/>
          <w:szCs w:val="24"/>
        </w:rPr>
        <w:t xml:space="preserve">Katra pētniecības pieteikuma vidusposma rezultātu zinātniskās kvalitātes vērtēšanai tiek pieaicināti 2 atbilstoša pētījumu virziena </w:t>
      </w:r>
      <w:r w:rsidR="00D75FF6" w:rsidRPr="004C6A72">
        <w:rPr>
          <w:rFonts w:ascii="Times New Roman" w:hAnsi="Times New Roman" w:cs="Times New Roman"/>
          <w:sz w:val="24"/>
          <w:szCs w:val="24"/>
        </w:rPr>
        <w:t xml:space="preserve">ārvalstu </w:t>
      </w:r>
      <w:r w:rsidRPr="004C6A72">
        <w:rPr>
          <w:rFonts w:ascii="Times New Roman" w:hAnsi="Times New Roman" w:cs="Times New Roman"/>
          <w:sz w:val="24"/>
          <w:szCs w:val="24"/>
        </w:rPr>
        <w:t xml:space="preserve">eksperti. Viens no viņiem tiek noteikts par galveno ekspertu jeb </w:t>
      </w:r>
      <w:r w:rsidR="006D41BB" w:rsidRPr="004C6A72">
        <w:rPr>
          <w:rFonts w:ascii="Times New Roman" w:hAnsi="Times New Roman" w:cs="Times New Roman"/>
          <w:sz w:val="24"/>
          <w:szCs w:val="24"/>
        </w:rPr>
        <w:t>konsolidētāju</w:t>
      </w:r>
      <w:r w:rsidRPr="004C6A72">
        <w:rPr>
          <w:rFonts w:ascii="Times New Roman" w:hAnsi="Times New Roman" w:cs="Times New Roman"/>
          <w:sz w:val="24"/>
          <w:szCs w:val="24"/>
        </w:rPr>
        <w:t xml:space="preserve"> (turpmāk - </w:t>
      </w:r>
      <w:r w:rsidR="00706E03" w:rsidRPr="004C6A72">
        <w:rPr>
          <w:rFonts w:ascii="Times New Roman" w:hAnsi="Times New Roman" w:cs="Times New Roman"/>
          <w:sz w:val="24"/>
          <w:szCs w:val="24"/>
        </w:rPr>
        <w:t>kon</w:t>
      </w:r>
      <w:r w:rsidR="00350E14" w:rsidRPr="004C6A72">
        <w:rPr>
          <w:rFonts w:ascii="Times New Roman" w:hAnsi="Times New Roman" w:cs="Times New Roman"/>
          <w:sz w:val="24"/>
          <w:szCs w:val="24"/>
        </w:rPr>
        <w:t>solidētājs</w:t>
      </w:r>
      <w:r w:rsidRPr="004C6A72">
        <w:rPr>
          <w:rFonts w:ascii="Times New Roman" w:hAnsi="Times New Roman" w:cs="Times New Roman"/>
          <w:sz w:val="24"/>
          <w:szCs w:val="24"/>
        </w:rPr>
        <w:t xml:space="preserve">), kurš ir atbildīgs par pieaicināto ekspertu konsolidēta viedokļa formulēšanu, saskaņošanu ar </w:t>
      </w:r>
      <w:r w:rsidR="00350E14" w:rsidRPr="004C6A72">
        <w:rPr>
          <w:rFonts w:ascii="Times New Roman" w:hAnsi="Times New Roman" w:cs="Times New Roman"/>
          <w:sz w:val="24"/>
          <w:szCs w:val="24"/>
        </w:rPr>
        <w:t>pirmo</w:t>
      </w:r>
      <w:r w:rsidRPr="004C6A72">
        <w:rPr>
          <w:rFonts w:ascii="Times New Roman" w:hAnsi="Times New Roman" w:cs="Times New Roman"/>
          <w:sz w:val="24"/>
          <w:szCs w:val="24"/>
        </w:rPr>
        <w:t xml:space="preserve"> ekspertu un apstiprināšanu. Ja pētniecības pieteikums pārstāv multi- vai starp-disciplināru pētījumu, tad izvēlas ekspertus, kuriem ir vai nu arī pieredze šādos multi- vai starp-disciplināros pētījumos vai katrs no tiem pārstāv savu zinātņu nozari, kuru aptver attiecīgais multi- vai starp-disciplinārais pētījums. Viens eksperts var veikt vairāku pētniecības pieteikumu vidusposma rezultātu zinātniskās kvalitātes vērtēšanu atbilstoši savam pētījumu virzienam.</w:t>
      </w:r>
    </w:p>
    <w:p w14:paraId="7BEB41B0" w14:textId="77777777" w:rsidR="004F145E" w:rsidRPr="004C6A72" w:rsidRDefault="004F145E" w:rsidP="004F145E">
      <w:pPr>
        <w:pStyle w:val="ListParagraph"/>
        <w:tabs>
          <w:tab w:val="left" w:pos="142"/>
        </w:tabs>
        <w:ind w:left="284"/>
        <w:jc w:val="both"/>
        <w:rPr>
          <w:rFonts w:ascii="Times New Roman" w:hAnsi="Times New Roman" w:cs="Times New Roman"/>
          <w:sz w:val="24"/>
          <w:szCs w:val="24"/>
        </w:rPr>
      </w:pPr>
    </w:p>
    <w:p w14:paraId="4AAF1BB0" w14:textId="54409945" w:rsidR="004F145E" w:rsidRDefault="00285F71" w:rsidP="004F145E">
      <w:pPr>
        <w:pStyle w:val="ListParagraph"/>
        <w:numPr>
          <w:ilvl w:val="1"/>
          <w:numId w:val="31"/>
        </w:numPr>
        <w:tabs>
          <w:tab w:val="left" w:pos="142"/>
        </w:tabs>
        <w:ind w:left="284"/>
        <w:jc w:val="both"/>
        <w:rPr>
          <w:rFonts w:ascii="Times New Roman" w:hAnsi="Times New Roman" w:cs="Times New Roman"/>
          <w:sz w:val="24"/>
          <w:szCs w:val="24"/>
        </w:rPr>
      </w:pPr>
      <w:r w:rsidRPr="00080727">
        <w:rPr>
          <w:rFonts w:ascii="Times New Roman" w:hAnsi="Times New Roman" w:cs="Times New Roman"/>
          <w:sz w:val="24"/>
          <w:szCs w:val="24"/>
        </w:rPr>
        <w:t>Vispirms padome vērtēt pētniecības pieteikuma īstenošanas progresu un zinātnisko kvalitāti vidusposmā uzaicina tos ekspertus, kuri veica sākotnējo attiecīgā pētniecības pieteikuma zinātniskās kvalitātes vērtēšanu. Ja sākotnējā attiecīgā pētniecības pieteikuma zinātnisko kvalitāti vērtējušais eksperts atsakās veikt pētniecības pieteikumu vidusposma rezultātu zinātniskās kvalitātes vērtēšanu, padome uzaicina veikt ekspertīzi citam ekspertam</w:t>
      </w:r>
      <w:r w:rsidR="00080727">
        <w:rPr>
          <w:rFonts w:ascii="Times New Roman" w:hAnsi="Times New Roman" w:cs="Times New Roman"/>
          <w:sz w:val="24"/>
          <w:szCs w:val="24"/>
        </w:rPr>
        <w:t>.</w:t>
      </w:r>
    </w:p>
    <w:p w14:paraId="47AF3F00" w14:textId="77777777" w:rsidR="004F145E" w:rsidRPr="004F145E" w:rsidRDefault="004F145E" w:rsidP="004F145E">
      <w:pPr>
        <w:pStyle w:val="ListParagraph"/>
        <w:rPr>
          <w:rFonts w:ascii="Times New Roman" w:hAnsi="Times New Roman" w:cs="Times New Roman"/>
          <w:sz w:val="24"/>
          <w:szCs w:val="24"/>
        </w:rPr>
      </w:pPr>
    </w:p>
    <w:p w14:paraId="1DC55D39" w14:textId="2F2387EE" w:rsidR="00285F71" w:rsidRPr="00080727" w:rsidRDefault="00080727" w:rsidP="00285F71">
      <w:pPr>
        <w:pStyle w:val="ListParagraph"/>
        <w:numPr>
          <w:ilvl w:val="1"/>
          <w:numId w:val="31"/>
        </w:numPr>
        <w:tabs>
          <w:tab w:val="left" w:pos="142"/>
        </w:tabs>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85F71" w:rsidRPr="00080727">
        <w:rPr>
          <w:rFonts w:ascii="Times New Roman" w:hAnsi="Times New Roman" w:cs="Times New Roman"/>
          <w:sz w:val="24"/>
          <w:szCs w:val="24"/>
        </w:rPr>
        <w:t>Ekspertam nedrīkst būt interešu konflikts attiecībā pret pētniecības pieteikuma īstenotāju un vērtējamo pētniecības pieteikumu. Interešu konflikts tiek atzīts, ja:</w:t>
      </w:r>
    </w:p>
    <w:p w14:paraId="379610DA" w14:textId="77777777" w:rsidR="00285F71" w:rsidRPr="00285F71" w:rsidRDefault="00285F71" w:rsidP="004F145E">
      <w:pPr>
        <w:pStyle w:val="ListParagraph"/>
        <w:numPr>
          <w:ilvl w:val="0"/>
          <w:numId w:val="32"/>
        </w:numPr>
        <w:tabs>
          <w:tab w:val="left" w:pos="567"/>
        </w:tabs>
        <w:spacing w:after="0" w:line="240" w:lineRule="auto"/>
        <w:ind w:left="284" w:firstLine="0"/>
        <w:jc w:val="both"/>
        <w:rPr>
          <w:rFonts w:ascii="Times New Roman" w:hAnsi="Times New Roman" w:cs="Times New Roman"/>
          <w:sz w:val="24"/>
          <w:szCs w:val="24"/>
        </w:rPr>
      </w:pPr>
      <w:r w:rsidRPr="00285F71">
        <w:rPr>
          <w:rFonts w:ascii="Times New Roman" w:hAnsi="Times New Roman" w:cs="Times New Roman"/>
          <w:sz w:val="24"/>
          <w:szCs w:val="24"/>
        </w:rPr>
        <w:t>eksperts, viņa radinieki, pārstāvētā institūcija vai institūcijas var gūt materiālu vai cita veida labumu saistībā ar šī pētniecības pieteikuma īstenošanu;</w:t>
      </w:r>
    </w:p>
    <w:p w14:paraId="13114574" w14:textId="77777777" w:rsidR="00285F71" w:rsidRPr="00285F71" w:rsidRDefault="00285F71" w:rsidP="004F145E">
      <w:pPr>
        <w:pStyle w:val="ListParagraph"/>
        <w:numPr>
          <w:ilvl w:val="0"/>
          <w:numId w:val="32"/>
        </w:numPr>
        <w:tabs>
          <w:tab w:val="left" w:pos="567"/>
        </w:tabs>
        <w:spacing w:after="0" w:line="240" w:lineRule="auto"/>
        <w:ind w:left="284" w:firstLine="0"/>
        <w:jc w:val="both"/>
        <w:rPr>
          <w:rFonts w:ascii="Times New Roman" w:hAnsi="Times New Roman" w:cs="Times New Roman"/>
          <w:sz w:val="24"/>
          <w:szCs w:val="24"/>
        </w:rPr>
      </w:pPr>
      <w:r w:rsidRPr="00285F71">
        <w:rPr>
          <w:rFonts w:ascii="Times New Roman" w:hAnsi="Times New Roman" w:cs="Times New Roman"/>
          <w:sz w:val="24"/>
          <w:szCs w:val="24"/>
        </w:rPr>
        <w:t>eksperts ir pēcdoktoranta radinieks, ir bijis pēcdoktoranta zinātniskā darba vadītājs;</w:t>
      </w:r>
    </w:p>
    <w:p w14:paraId="18A226D8" w14:textId="77777777" w:rsidR="00285F71" w:rsidRPr="00285F71" w:rsidRDefault="00285F71" w:rsidP="004F145E">
      <w:pPr>
        <w:pStyle w:val="ListParagraph"/>
        <w:numPr>
          <w:ilvl w:val="0"/>
          <w:numId w:val="32"/>
        </w:numPr>
        <w:tabs>
          <w:tab w:val="left" w:pos="567"/>
        </w:tabs>
        <w:spacing w:after="0" w:line="240" w:lineRule="auto"/>
        <w:ind w:left="284" w:firstLine="0"/>
        <w:jc w:val="both"/>
        <w:rPr>
          <w:rFonts w:ascii="Times New Roman" w:hAnsi="Times New Roman" w:cs="Times New Roman"/>
          <w:sz w:val="24"/>
          <w:szCs w:val="24"/>
        </w:rPr>
      </w:pPr>
      <w:r w:rsidRPr="00285F71">
        <w:rPr>
          <w:rFonts w:ascii="Times New Roman" w:hAnsi="Times New Roman" w:cs="Times New Roman"/>
          <w:sz w:val="24"/>
          <w:szCs w:val="24"/>
        </w:rPr>
        <w:lastRenderedPageBreak/>
        <w:t>ekspertam ir kopējas publikācijas ar pēcdoktorantu pēdējo 3 gadu laikā (par kopēju publikāciju netiek uzskatīta publikācija, kura ir tapusi vairāk nekā 5 zinātnisko institūciju sadarbības rezultātā un eksperts vai pēcdoktorants nepārstāv publikācijas vadošā autora zinātnisko institūciju);</w:t>
      </w:r>
    </w:p>
    <w:p w14:paraId="1FB8ECAF" w14:textId="77777777" w:rsidR="00285F71" w:rsidRPr="00285F71" w:rsidRDefault="00285F71" w:rsidP="004F145E">
      <w:pPr>
        <w:pStyle w:val="ListParagraph"/>
        <w:numPr>
          <w:ilvl w:val="0"/>
          <w:numId w:val="32"/>
        </w:numPr>
        <w:tabs>
          <w:tab w:val="left" w:pos="567"/>
        </w:tabs>
        <w:spacing w:after="0" w:line="240" w:lineRule="auto"/>
        <w:ind w:left="284" w:firstLine="0"/>
        <w:jc w:val="both"/>
        <w:rPr>
          <w:rFonts w:ascii="Times New Roman" w:hAnsi="Times New Roman" w:cs="Times New Roman"/>
          <w:sz w:val="24"/>
          <w:szCs w:val="24"/>
        </w:rPr>
      </w:pPr>
      <w:r w:rsidRPr="00285F71">
        <w:rPr>
          <w:rFonts w:ascii="Times New Roman" w:hAnsi="Times New Roman" w:cs="Times New Roman"/>
          <w:sz w:val="24"/>
          <w:szCs w:val="24"/>
        </w:rPr>
        <w:t>eksperts ir piedalījies kopēju zinātnisko projektu īstenošanā ar pēcdoktorantu pēdējo 3 gadu laikā (par kopēju projektu netiek uzskatīts projekts, kurš ir īstenots vairāk nekā 5 zinātnisko institūciju sadarbības rezultātā un eksperts vai pēcdoktorants nepārstāv projekta koordinējošo zinātnisko institūciju);</w:t>
      </w:r>
    </w:p>
    <w:p w14:paraId="145CC29A" w14:textId="77777777" w:rsidR="00285F71" w:rsidRPr="00285F71" w:rsidRDefault="00285F71" w:rsidP="004F145E">
      <w:pPr>
        <w:pStyle w:val="ListParagraph"/>
        <w:numPr>
          <w:ilvl w:val="0"/>
          <w:numId w:val="32"/>
        </w:numPr>
        <w:tabs>
          <w:tab w:val="left" w:pos="567"/>
        </w:tabs>
        <w:spacing w:after="0" w:line="240" w:lineRule="auto"/>
        <w:ind w:left="284" w:firstLine="0"/>
        <w:jc w:val="both"/>
        <w:rPr>
          <w:rFonts w:ascii="Times New Roman" w:hAnsi="Times New Roman" w:cs="Times New Roman"/>
          <w:sz w:val="24"/>
          <w:szCs w:val="24"/>
        </w:rPr>
      </w:pPr>
      <w:r w:rsidRPr="00285F71">
        <w:rPr>
          <w:rFonts w:ascii="Times New Roman" w:hAnsi="Times New Roman" w:cs="Times New Roman"/>
          <w:sz w:val="24"/>
          <w:szCs w:val="24"/>
        </w:rPr>
        <w:t>eksperts atzīst jebkura cita veida personīgu attieksmi pret pēcdoktorantu, kas var apšaubīt viņa vērtējuma objektivitāti.</w:t>
      </w:r>
    </w:p>
    <w:p w14:paraId="45A25D4B" w14:textId="77777777" w:rsidR="00285F71" w:rsidRPr="00285F71" w:rsidRDefault="00285F71" w:rsidP="00285F71">
      <w:pPr>
        <w:pStyle w:val="ListParagraph"/>
        <w:spacing w:after="0" w:line="240" w:lineRule="auto"/>
        <w:ind w:left="1429"/>
        <w:jc w:val="both"/>
        <w:rPr>
          <w:rFonts w:ascii="Times New Roman" w:hAnsi="Times New Roman" w:cs="Times New Roman"/>
          <w:sz w:val="24"/>
          <w:szCs w:val="24"/>
        </w:rPr>
      </w:pPr>
    </w:p>
    <w:p w14:paraId="00E1EDCD" w14:textId="77777777" w:rsidR="00285F71" w:rsidRDefault="00285F71" w:rsidP="004751D3">
      <w:pPr>
        <w:ind w:left="284"/>
        <w:jc w:val="both"/>
        <w:rPr>
          <w:rFonts w:ascii="Times New Roman" w:hAnsi="Times New Roman" w:cs="Times New Roman"/>
          <w:sz w:val="24"/>
          <w:szCs w:val="24"/>
        </w:rPr>
      </w:pPr>
      <w:r w:rsidRPr="00285F71">
        <w:rPr>
          <w:rFonts w:ascii="Times New Roman" w:hAnsi="Times New Roman" w:cs="Times New Roman"/>
          <w:sz w:val="24"/>
          <w:szCs w:val="24"/>
        </w:rPr>
        <w:t>Eksperts apliecina interešu konflikta neesamību, kā arī apliecina, ka informācija saistībā ar pētniecības pieteikuma saturu un tā vērtēšanu ir konfidenciāla un nevar tikt izpausta trešajām personām vai tikt izmantota eksperta paša interesēs. Pētniecības pieteikumu vidusposma rezultātu zinātniskās kvalitātes ekspertīze ir anonīma attiecībā pret pētniecības pieteikuma īstenotāju un jebkurām trešajām personām. Eksperta vārds, zinātniskais grāds un pārstāvētā organizācija ir zināma pārējiem ekspertiem, kuri vērtē attiecīgo pētniecības pieteikumu pēc pētniecības pieteikuma vidusposma rezultātu zinātniskās kvalitātes individuālās vērtēšanas pabeigšanas un pirms konsolidētā vērtējuma veikšanas.</w:t>
      </w:r>
    </w:p>
    <w:p w14:paraId="5FF90F8F" w14:textId="0460F134" w:rsidR="008962C9" w:rsidRDefault="008962C9" w:rsidP="008962C9">
      <w:pPr>
        <w:pStyle w:val="ListParagraph"/>
        <w:numPr>
          <w:ilvl w:val="1"/>
          <w:numId w:val="31"/>
        </w:numPr>
        <w:ind w:left="284"/>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Eksperts ir tiesīgs konsultēties ar padomi jebkurā jautājumā saistībā ar vērtējamo pētniecības pieteikumu vai vērtēšanas procedūru.</w:t>
      </w:r>
    </w:p>
    <w:p w14:paraId="0B6CEF26" w14:textId="77777777" w:rsidR="008962C9" w:rsidRPr="008962C9" w:rsidRDefault="008962C9" w:rsidP="008962C9">
      <w:pPr>
        <w:pStyle w:val="ListParagraph"/>
        <w:ind w:left="284"/>
        <w:jc w:val="both"/>
        <w:rPr>
          <w:rFonts w:ascii="Times New Roman" w:eastAsia="Calibri" w:hAnsi="Times New Roman" w:cs="Times New Roman"/>
          <w:kern w:val="0"/>
          <w:sz w:val="24"/>
          <w:szCs w:val="24"/>
          <w14:ligatures w14:val="none"/>
        </w:rPr>
      </w:pPr>
    </w:p>
    <w:p w14:paraId="2232F65B" w14:textId="77777777" w:rsidR="00774EC7" w:rsidRDefault="008962C9" w:rsidP="008962C9">
      <w:pPr>
        <w:pStyle w:val="ListParagraph"/>
        <w:numPr>
          <w:ilvl w:val="1"/>
          <w:numId w:val="31"/>
        </w:numPr>
        <w:ind w:left="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8962C9">
        <w:rPr>
          <w:rFonts w:ascii="Times New Roman" w:eastAsia="Calibri" w:hAnsi="Times New Roman" w:cs="Times New Roman"/>
          <w:kern w:val="0"/>
          <w:sz w:val="24"/>
          <w:szCs w:val="24"/>
          <w14:ligatures w14:val="none"/>
        </w:rPr>
        <w:t>Pētniecības pieteikumu vidusposma rezultātu zinātniskās kvalitātes vērtēšana noti</w:t>
      </w:r>
      <w:r>
        <w:rPr>
          <w:rFonts w:ascii="Times New Roman" w:eastAsia="Calibri" w:hAnsi="Times New Roman" w:cs="Times New Roman"/>
          <w:kern w:val="0"/>
          <w:sz w:val="24"/>
          <w:szCs w:val="24"/>
          <w14:ligatures w14:val="none"/>
        </w:rPr>
        <w:t>e</w:t>
      </w:r>
      <w:r w:rsidRPr="008962C9">
        <w:rPr>
          <w:rFonts w:ascii="Times New Roman" w:eastAsia="Calibri" w:hAnsi="Times New Roman" w:cs="Times New Roman"/>
          <w:kern w:val="0"/>
          <w:sz w:val="24"/>
          <w:szCs w:val="24"/>
          <w14:ligatures w14:val="none"/>
        </w:rPr>
        <w:t xml:space="preserve">k attālināti, izmantojot </w:t>
      </w:r>
      <w:r>
        <w:rPr>
          <w:rFonts w:ascii="Times New Roman" w:eastAsia="Calibri" w:hAnsi="Times New Roman" w:cs="Times New Roman"/>
          <w:kern w:val="0"/>
          <w:sz w:val="24"/>
          <w:szCs w:val="24"/>
          <w14:ligatures w14:val="none"/>
        </w:rPr>
        <w:t>padomes</w:t>
      </w:r>
      <w:r w:rsidRPr="008962C9">
        <w:rPr>
          <w:rFonts w:ascii="Times New Roman" w:eastAsia="Calibri" w:hAnsi="Times New Roman" w:cs="Times New Roman"/>
          <w:kern w:val="0"/>
          <w:sz w:val="24"/>
          <w:szCs w:val="24"/>
          <w14:ligatures w14:val="none"/>
        </w:rPr>
        <w:t xml:space="preserve"> POSTDOC informācijas sistēmu. Informācijas sistēma satur iesniegtos un vērtējamos pētniecības pieteikumu ziņojumus par īstenošanas progresu vidusposma rezultātu zinātniskās kvalitātes izvērtēšanā, nodrošina vērtējumu procedūras veikšanu un vērtējumu saglabāšanu</w:t>
      </w:r>
      <w:r w:rsidR="00774EC7">
        <w:rPr>
          <w:rFonts w:ascii="Times New Roman" w:eastAsia="Calibri" w:hAnsi="Times New Roman" w:cs="Times New Roman"/>
          <w:kern w:val="0"/>
          <w:sz w:val="24"/>
          <w:szCs w:val="24"/>
          <w14:ligatures w14:val="none"/>
        </w:rPr>
        <w:t>.</w:t>
      </w:r>
    </w:p>
    <w:p w14:paraId="63C9D7E2" w14:textId="77777777" w:rsidR="00F6401F" w:rsidRPr="00F6401F" w:rsidRDefault="00F6401F" w:rsidP="00F6401F">
      <w:pPr>
        <w:pStyle w:val="ListParagraph"/>
        <w:rPr>
          <w:rFonts w:ascii="Times New Roman" w:eastAsia="Calibri" w:hAnsi="Times New Roman" w:cs="Times New Roman"/>
          <w:kern w:val="0"/>
          <w:sz w:val="24"/>
          <w:szCs w:val="24"/>
          <w14:ligatures w14:val="none"/>
        </w:rPr>
      </w:pPr>
    </w:p>
    <w:p w14:paraId="1CAAE96E" w14:textId="56EA174B" w:rsidR="00F6401F" w:rsidRPr="000B1483" w:rsidRDefault="000B1483" w:rsidP="000B1483">
      <w:pPr>
        <w:pStyle w:val="ListParagraph"/>
        <w:numPr>
          <w:ilvl w:val="0"/>
          <w:numId w:val="31"/>
        </w:numPr>
        <w:tabs>
          <w:tab w:val="left" w:pos="142"/>
        </w:tabs>
        <w:ind w:left="284" w:hanging="426"/>
        <w:jc w:val="both"/>
        <w:rPr>
          <w:rFonts w:ascii="Times New Roman" w:eastAsia="Calibri" w:hAnsi="Times New Roman" w:cs="Times New Roman"/>
          <w:b/>
          <w:bCs/>
          <w:kern w:val="0"/>
          <w:sz w:val="24"/>
          <w:szCs w:val="24"/>
          <w14:ligatures w14:val="none"/>
        </w:rPr>
      </w:pPr>
      <w:r w:rsidRPr="000B1483">
        <w:rPr>
          <w:rFonts w:ascii="Times New Roman" w:eastAsia="Calibri" w:hAnsi="Times New Roman" w:cs="Times New Roman"/>
          <w:b/>
          <w:bCs/>
          <w:kern w:val="0"/>
          <w:sz w:val="24"/>
          <w:szCs w:val="24"/>
          <w14:ligatures w14:val="none"/>
        </w:rPr>
        <w:t>Vērtēšanas p</w:t>
      </w:r>
      <w:r w:rsidR="00F6401F" w:rsidRPr="000B1483">
        <w:rPr>
          <w:rFonts w:ascii="Times New Roman" w:eastAsia="Calibri" w:hAnsi="Times New Roman" w:cs="Times New Roman"/>
          <w:b/>
          <w:bCs/>
          <w:kern w:val="0"/>
          <w:sz w:val="24"/>
          <w:szCs w:val="24"/>
          <w14:ligatures w14:val="none"/>
        </w:rPr>
        <w:t>rocess</w:t>
      </w:r>
    </w:p>
    <w:p w14:paraId="7855AE39" w14:textId="74C79233" w:rsidR="008962C9" w:rsidRPr="00774EC7" w:rsidRDefault="00774EC7" w:rsidP="00D033E2">
      <w:pPr>
        <w:pStyle w:val="ListParagraph"/>
        <w:numPr>
          <w:ilvl w:val="1"/>
          <w:numId w:val="31"/>
        </w:numPr>
        <w:ind w:left="284" w:hanging="426"/>
        <w:jc w:val="both"/>
        <w:rPr>
          <w:rFonts w:ascii="Times New Roman" w:eastAsia="Calibri" w:hAnsi="Times New Roman" w:cs="Times New Roman"/>
          <w:kern w:val="0"/>
          <w:sz w:val="24"/>
          <w:szCs w:val="24"/>
          <w14:ligatures w14:val="none"/>
        </w:rPr>
      </w:pPr>
      <w:r w:rsidRPr="00774EC7">
        <w:rPr>
          <w:rFonts w:ascii="Times New Roman" w:eastAsia="Calibri" w:hAnsi="Times New Roman" w:cs="Times New Roman"/>
          <w:kern w:val="0"/>
          <w:sz w:val="24"/>
          <w:szCs w:val="24"/>
          <w14:ligatures w14:val="none"/>
        </w:rPr>
        <w:t xml:space="preserve"> </w:t>
      </w:r>
      <w:r w:rsidR="008962C9" w:rsidRPr="00774EC7">
        <w:rPr>
          <w:rFonts w:ascii="Times New Roman" w:eastAsia="Calibri" w:hAnsi="Times New Roman" w:cs="Times New Roman"/>
          <w:kern w:val="0"/>
          <w:sz w:val="24"/>
          <w:szCs w:val="24"/>
          <w14:ligatures w14:val="none"/>
        </w:rPr>
        <w:t xml:space="preserve">Padome uzaicina izvēlētos </w:t>
      </w:r>
      <w:r>
        <w:rPr>
          <w:rFonts w:ascii="Times New Roman" w:eastAsia="Calibri" w:hAnsi="Times New Roman" w:cs="Times New Roman"/>
          <w:kern w:val="0"/>
          <w:sz w:val="24"/>
          <w:szCs w:val="24"/>
          <w14:ligatures w14:val="none"/>
        </w:rPr>
        <w:t xml:space="preserve">ārvalstu </w:t>
      </w:r>
      <w:r w:rsidR="008962C9" w:rsidRPr="00774EC7">
        <w:rPr>
          <w:rFonts w:ascii="Times New Roman" w:eastAsia="Calibri" w:hAnsi="Times New Roman" w:cs="Times New Roman"/>
          <w:kern w:val="0"/>
          <w:sz w:val="24"/>
          <w:szCs w:val="24"/>
          <w14:ligatures w14:val="none"/>
        </w:rPr>
        <w:t>ekspertus veikt konkrētu pētniecības pieteikumu vidusposma rezultātu zinātniskās kvalitātes ekspertīzi. Uzaicinot ekspertu veikt konkrēta pētniecības pieteikuma vidusposma rezultātu zinātniskās kvalitātes ekspertīzi, viņam tiek nosūtīta šāda informācija angļu valodā:</w:t>
      </w:r>
    </w:p>
    <w:p w14:paraId="0A09CC01" w14:textId="77777777" w:rsidR="008962C9" w:rsidRPr="008962C9" w:rsidRDefault="008962C9" w:rsidP="008962C9">
      <w:pPr>
        <w:numPr>
          <w:ilvl w:val="0"/>
          <w:numId w:val="33"/>
        </w:numPr>
        <w:spacing w:after="0"/>
        <w:ind w:left="993" w:hanging="284"/>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 xml:space="preserve">pēcdoktoranta vārds, uzvārds, </w:t>
      </w:r>
    </w:p>
    <w:p w14:paraId="34E3E941" w14:textId="77777777" w:rsidR="008962C9" w:rsidRPr="008962C9" w:rsidRDefault="008962C9" w:rsidP="008962C9">
      <w:pPr>
        <w:numPr>
          <w:ilvl w:val="0"/>
          <w:numId w:val="33"/>
        </w:numPr>
        <w:spacing w:after="0"/>
        <w:ind w:left="993" w:hanging="284"/>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institūcija, kurā tiek veikts pētījums,</w:t>
      </w:r>
    </w:p>
    <w:p w14:paraId="26782082" w14:textId="77777777" w:rsidR="008962C9" w:rsidRPr="008962C9" w:rsidRDefault="008962C9" w:rsidP="008962C9">
      <w:pPr>
        <w:numPr>
          <w:ilvl w:val="0"/>
          <w:numId w:val="33"/>
        </w:numPr>
        <w:spacing w:after="0"/>
        <w:ind w:left="993" w:hanging="284"/>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 xml:space="preserve">samaksas apmērs, </w:t>
      </w:r>
    </w:p>
    <w:p w14:paraId="6983D00C" w14:textId="77777777" w:rsidR="008962C9" w:rsidRPr="008962C9" w:rsidRDefault="008962C9" w:rsidP="008962C9">
      <w:pPr>
        <w:numPr>
          <w:ilvl w:val="0"/>
          <w:numId w:val="33"/>
        </w:numPr>
        <w:ind w:left="993" w:hanging="284"/>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 xml:space="preserve">paredzamais ekspertīzes laika grafiks. </w:t>
      </w:r>
    </w:p>
    <w:p w14:paraId="5216ACD8" w14:textId="77777777" w:rsidR="00A67793" w:rsidRDefault="008962C9" w:rsidP="008962C9">
      <w:pPr>
        <w:pStyle w:val="ListParagraph"/>
        <w:numPr>
          <w:ilvl w:val="1"/>
          <w:numId w:val="31"/>
        </w:numPr>
        <w:tabs>
          <w:tab w:val="left" w:pos="426"/>
        </w:tabs>
        <w:ind w:left="284" w:hanging="426"/>
        <w:jc w:val="both"/>
        <w:rPr>
          <w:rFonts w:ascii="Times New Roman" w:eastAsia="Calibri" w:hAnsi="Times New Roman" w:cs="Times New Roman"/>
          <w:kern w:val="0"/>
          <w:sz w:val="24"/>
          <w:szCs w:val="24"/>
          <w14:ligatures w14:val="none"/>
        </w:rPr>
      </w:pPr>
      <w:r w:rsidRPr="00A67793">
        <w:rPr>
          <w:rFonts w:ascii="Times New Roman" w:eastAsia="Calibri" w:hAnsi="Times New Roman" w:cs="Times New Roman"/>
          <w:kern w:val="0"/>
          <w:sz w:val="24"/>
          <w:szCs w:val="24"/>
          <w14:ligatures w14:val="none"/>
        </w:rPr>
        <w:t xml:space="preserve">Uzaicinot </w:t>
      </w:r>
      <w:r w:rsidR="00A67793">
        <w:rPr>
          <w:rFonts w:ascii="Times New Roman" w:eastAsia="Calibri" w:hAnsi="Times New Roman" w:cs="Times New Roman"/>
          <w:kern w:val="0"/>
          <w:sz w:val="24"/>
          <w:szCs w:val="24"/>
          <w14:ligatures w14:val="none"/>
        </w:rPr>
        <w:t xml:space="preserve">pirmo </w:t>
      </w:r>
      <w:r w:rsidRPr="00A67793">
        <w:rPr>
          <w:rFonts w:ascii="Times New Roman" w:eastAsia="Calibri" w:hAnsi="Times New Roman" w:cs="Times New Roman"/>
          <w:kern w:val="0"/>
          <w:sz w:val="24"/>
          <w:szCs w:val="24"/>
          <w14:ligatures w14:val="none"/>
        </w:rPr>
        <w:t xml:space="preserve">ekspertu vai </w:t>
      </w:r>
      <w:r w:rsidR="00A67793">
        <w:rPr>
          <w:rFonts w:ascii="Times New Roman" w:eastAsia="Calibri" w:hAnsi="Times New Roman" w:cs="Times New Roman"/>
          <w:kern w:val="0"/>
          <w:sz w:val="24"/>
          <w:szCs w:val="24"/>
          <w14:ligatures w14:val="none"/>
        </w:rPr>
        <w:t>konsolidētāju</w:t>
      </w:r>
      <w:r w:rsidRPr="00A67793">
        <w:rPr>
          <w:rFonts w:ascii="Times New Roman" w:eastAsia="Calibri" w:hAnsi="Times New Roman" w:cs="Times New Roman"/>
          <w:kern w:val="0"/>
          <w:sz w:val="24"/>
          <w:szCs w:val="24"/>
          <w14:ligatures w14:val="none"/>
        </w:rPr>
        <w:t xml:space="preserve"> veikt konkrēta pētniecības pieteikuma vidusposma rezultātu zinātniskās kvalitātes sākotnējo individuālo vai konsolidēto vērtējumu, padome ņem vērā ekspert</w:t>
      </w:r>
      <w:r w:rsidR="00A67793">
        <w:rPr>
          <w:rFonts w:ascii="Times New Roman" w:eastAsia="Calibri" w:hAnsi="Times New Roman" w:cs="Times New Roman"/>
          <w:kern w:val="0"/>
          <w:sz w:val="24"/>
          <w:szCs w:val="24"/>
          <w14:ligatures w14:val="none"/>
        </w:rPr>
        <w:t>u</w:t>
      </w:r>
      <w:r w:rsidRPr="00A67793">
        <w:rPr>
          <w:rFonts w:ascii="Times New Roman" w:eastAsia="Calibri" w:hAnsi="Times New Roman" w:cs="Times New Roman"/>
          <w:kern w:val="0"/>
          <w:sz w:val="24"/>
          <w:szCs w:val="24"/>
          <w14:ligatures w14:val="none"/>
        </w:rPr>
        <w:t xml:space="preserve"> zinātnisko kvalifikāciju un aktualitāti.</w:t>
      </w:r>
    </w:p>
    <w:p w14:paraId="34969845" w14:textId="77777777" w:rsidR="00A67793" w:rsidRDefault="00A67793" w:rsidP="00A67793">
      <w:pPr>
        <w:pStyle w:val="ListParagraph"/>
        <w:tabs>
          <w:tab w:val="left" w:pos="426"/>
        </w:tabs>
        <w:ind w:left="284"/>
        <w:jc w:val="both"/>
        <w:rPr>
          <w:rFonts w:ascii="Times New Roman" w:eastAsia="Calibri" w:hAnsi="Times New Roman" w:cs="Times New Roman"/>
          <w:kern w:val="0"/>
          <w:sz w:val="24"/>
          <w:szCs w:val="24"/>
          <w14:ligatures w14:val="none"/>
        </w:rPr>
      </w:pPr>
    </w:p>
    <w:p w14:paraId="68F688C4" w14:textId="60AA6AFF" w:rsidR="008962C9" w:rsidRPr="00A67793" w:rsidRDefault="008962C9" w:rsidP="008962C9">
      <w:pPr>
        <w:pStyle w:val="ListParagraph"/>
        <w:numPr>
          <w:ilvl w:val="1"/>
          <w:numId w:val="31"/>
        </w:numPr>
        <w:tabs>
          <w:tab w:val="left" w:pos="426"/>
        </w:tabs>
        <w:ind w:left="284" w:hanging="426"/>
        <w:jc w:val="both"/>
        <w:rPr>
          <w:rFonts w:ascii="Times New Roman" w:eastAsia="Calibri" w:hAnsi="Times New Roman" w:cs="Times New Roman"/>
          <w:kern w:val="0"/>
          <w:sz w:val="24"/>
          <w:szCs w:val="24"/>
          <w14:ligatures w14:val="none"/>
        </w:rPr>
      </w:pPr>
      <w:r w:rsidRPr="00A67793">
        <w:rPr>
          <w:rFonts w:ascii="Times New Roman" w:eastAsia="Calibri" w:hAnsi="Times New Roman" w:cs="Times New Roman"/>
          <w:kern w:val="0"/>
          <w:sz w:val="24"/>
          <w:szCs w:val="24"/>
          <w14:ligatures w14:val="none"/>
        </w:rPr>
        <w:t xml:space="preserve">Saņemot </w:t>
      </w:r>
      <w:r w:rsidR="00A67793">
        <w:rPr>
          <w:rFonts w:ascii="Times New Roman" w:eastAsia="Calibri" w:hAnsi="Times New Roman" w:cs="Times New Roman"/>
          <w:kern w:val="0"/>
          <w:sz w:val="24"/>
          <w:szCs w:val="24"/>
          <w14:ligatures w14:val="none"/>
        </w:rPr>
        <w:t xml:space="preserve">pirmā </w:t>
      </w:r>
      <w:r w:rsidRPr="00A67793">
        <w:rPr>
          <w:rFonts w:ascii="Times New Roman" w:eastAsia="Calibri" w:hAnsi="Times New Roman" w:cs="Times New Roman"/>
          <w:kern w:val="0"/>
          <w:sz w:val="24"/>
          <w:szCs w:val="24"/>
          <w14:ligatures w14:val="none"/>
        </w:rPr>
        <w:t xml:space="preserve">eksperta vai </w:t>
      </w:r>
      <w:r w:rsidR="00A67793">
        <w:rPr>
          <w:rFonts w:ascii="Times New Roman" w:eastAsia="Calibri" w:hAnsi="Times New Roman" w:cs="Times New Roman"/>
          <w:kern w:val="0"/>
          <w:sz w:val="24"/>
          <w:szCs w:val="24"/>
          <w14:ligatures w14:val="none"/>
        </w:rPr>
        <w:t>konsolidētāja</w:t>
      </w:r>
      <w:r w:rsidRPr="00A67793">
        <w:rPr>
          <w:rFonts w:ascii="Times New Roman" w:eastAsia="Calibri" w:hAnsi="Times New Roman" w:cs="Times New Roman"/>
          <w:kern w:val="0"/>
          <w:sz w:val="24"/>
          <w:szCs w:val="24"/>
          <w14:ligatures w14:val="none"/>
        </w:rPr>
        <w:t xml:space="preserve"> piekrišanu un apliecinājumu par interešu konflikta neesamību un konfidenciālas informācijas neizpaušanu, padome slēdz līgumu ar ekspertu vai referentu un nodrošina viņam piekļuvi POSTDOC informācijas sistēmai. POSTDOC informācijas sistēmā ir iekļauta šāda ekspertiem vai referentiem pieejama informācija:</w:t>
      </w:r>
    </w:p>
    <w:p w14:paraId="54E9ABD5" w14:textId="04D78FDB" w:rsidR="008962C9" w:rsidRPr="008962C9" w:rsidRDefault="008962C9" w:rsidP="008962C9">
      <w:pPr>
        <w:numPr>
          <w:ilvl w:val="1"/>
          <w:numId w:val="34"/>
        </w:numPr>
        <w:spacing w:after="0" w:line="240" w:lineRule="auto"/>
        <w:ind w:left="993" w:hanging="284"/>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MK noteikumi,</w:t>
      </w:r>
    </w:p>
    <w:p w14:paraId="2371E20C" w14:textId="77777777" w:rsidR="008962C9" w:rsidRPr="008962C9" w:rsidRDefault="008962C9" w:rsidP="008962C9">
      <w:pPr>
        <w:numPr>
          <w:ilvl w:val="1"/>
          <w:numId w:val="34"/>
        </w:numPr>
        <w:spacing w:after="0" w:line="240" w:lineRule="auto"/>
        <w:ind w:left="993" w:hanging="284"/>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 xml:space="preserve">šīs vērtēšanas vadlīnijas, </w:t>
      </w:r>
    </w:p>
    <w:p w14:paraId="62F9ADC4" w14:textId="77777777" w:rsidR="008962C9" w:rsidRPr="008962C9" w:rsidRDefault="008962C9" w:rsidP="008962C9">
      <w:pPr>
        <w:numPr>
          <w:ilvl w:val="1"/>
          <w:numId w:val="34"/>
        </w:numPr>
        <w:spacing w:after="0" w:line="240" w:lineRule="auto"/>
        <w:ind w:left="993" w:hanging="284"/>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lastRenderedPageBreak/>
        <w:t>pētniecības pieteikuma zinātniskais apraksts (angļu valodā),</w:t>
      </w:r>
    </w:p>
    <w:p w14:paraId="1F8C1604" w14:textId="77777777" w:rsidR="008962C9" w:rsidRDefault="008962C9" w:rsidP="008962C9">
      <w:pPr>
        <w:numPr>
          <w:ilvl w:val="1"/>
          <w:numId w:val="34"/>
        </w:numPr>
        <w:tabs>
          <w:tab w:val="left" w:pos="0"/>
          <w:tab w:val="left" w:pos="426"/>
          <w:tab w:val="left" w:pos="851"/>
          <w:tab w:val="left" w:pos="1134"/>
        </w:tabs>
        <w:spacing w:after="0" w:line="240" w:lineRule="auto"/>
        <w:ind w:left="993" w:hanging="284"/>
        <w:jc w:val="both"/>
        <w:outlineLvl w:val="3"/>
        <w:rPr>
          <w:rFonts w:ascii="Times New Roman" w:eastAsia="Times New Roman" w:hAnsi="Times New Roman" w:cs="Times New Roman"/>
          <w:bCs/>
          <w:kern w:val="0"/>
          <w:sz w:val="24"/>
          <w:szCs w:val="24"/>
          <w:lang w:eastAsia="lv-LV"/>
          <w14:ligatures w14:val="none"/>
        </w:rPr>
      </w:pPr>
      <w:r w:rsidRPr="008962C9">
        <w:rPr>
          <w:rFonts w:ascii="Times New Roman" w:eastAsia="Calibri" w:hAnsi="Times New Roman" w:cs="Times New Roman"/>
          <w:kern w:val="0"/>
          <w:sz w:val="24"/>
          <w:szCs w:val="24"/>
          <w14:ligatures w14:val="none"/>
        </w:rPr>
        <w:t>ziņojums un tā pielikumi</w:t>
      </w:r>
      <w:r w:rsidRPr="008962C9">
        <w:rPr>
          <w:rFonts w:ascii="Times New Roman" w:eastAsia="Times New Roman" w:hAnsi="Times New Roman" w:cs="Times New Roman"/>
          <w:bCs/>
          <w:kern w:val="0"/>
          <w:sz w:val="24"/>
          <w:szCs w:val="24"/>
          <w:lang w:eastAsia="lv-LV"/>
          <w14:ligatures w14:val="none"/>
        </w:rPr>
        <w:t>.</w:t>
      </w:r>
    </w:p>
    <w:p w14:paraId="05E9C2B8" w14:textId="53DA9183" w:rsidR="008962C9" w:rsidRPr="00A67793" w:rsidRDefault="00487824" w:rsidP="00D033E2">
      <w:pPr>
        <w:pStyle w:val="ListParagraph"/>
        <w:numPr>
          <w:ilvl w:val="1"/>
          <w:numId w:val="31"/>
        </w:numPr>
        <w:spacing w:after="0"/>
        <w:ind w:left="284" w:hanging="42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8962C9" w:rsidRPr="00A67793">
        <w:rPr>
          <w:rFonts w:ascii="Times New Roman" w:eastAsia="Calibri" w:hAnsi="Times New Roman" w:cs="Times New Roman"/>
          <w:kern w:val="0"/>
          <w:sz w:val="24"/>
          <w:szCs w:val="24"/>
          <w14:ligatures w14:val="none"/>
        </w:rPr>
        <w:t>Pētniecības pieteikumu vidusposma rezultātu zinātniskās kvalitātes vērtēšana sastāv no diviem posmiem:</w:t>
      </w:r>
    </w:p>
    <w:p w14:paraId="6B1E0D3C" w14:textId="77777777" w:rsidR="008962C9" w:rsidRPr="008962C9" w:rsidRDefault="008962C9" w:rsidP="008962C9">
      <w:pPr>
        <w:spacing w:after="0"/>
        <w:ind w:left="720"/>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1) katra eksperta sākotnējā individuāla vērtējuma, atbilstoši vērtēšanas kritērijiem,</w:t>
      </w:r>
    </w:p>
    <w:p w14:paraId="7AEE973A" w14:textId="030D23CA" w:rsidR="008962C9" w:rsidRDefault="008962C9" w:rsidP="008962C9">
      <w:pPr>
        <w:ind w:left="720"/>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2) ekspertu konsolidēta viedokļa formulēšanas un apstiprināšanas.</w:t>
      </w:r>
    </w:p>
    <w:p w14:paraId="77E8411B" w14:textId="15BD7F7E" w:rsidR="00285481" w:rsidRPr="00A433B9" w:rsidRDefault="00285481" w:rsidP="00285481">
      <w:pPr>
        <w:ind w:left="284" w:hanging="42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3.5. </w:t>
      </w:r>
      <w:r w:rsidRPr="00285481">
        <w:rPr>
          <w:rFonts w:ascii="Times New Roman" w:eastAsia="Calibri" w:hAnsi="Times New Roman" w:cs="Times New Roman"/>
          <w:kern w:val="0"/>
          <w:sz w:val="24"/>
          <w:szCs w:val="24"/>
          <w14:ligatures w14:val="none"/>
        </w:rPr>
        <w:t xml:space="preserve">Veicot sākotnējo individuālo vērtējumu, eksperts dod vērtējumu “Atbilst/Atbilst ar ieteikumiem/Neatbilst”, konkrēti un saprotami argumentē savu vērtējumu katrā no vērtēšanas kritērijiem. Ja kādā no vērtēšanas kritērijiem ir vērtējums “Atbilst ar ieteikumiem/Neatbilst”, eksperts sniedz ieteikumus pētniecības pieteikuma zinātniskās kvalitātes un īstenošanas procesa uzlabošanai. Pēc abu viena pētniecības pieteikuma sākotnējo individuālo vērtējumu ievietošanas POSTDOC </w:t>
      </w:r>
      <w:r w:rsidRPr="00A433B9">
        <w:rPr>
          <w:rFonts w:ascii="Times New Roman" w:eastAsia="Calibri" w:hAnsi="Times New Roman" w:cs="Times New Roman"/>
          <w:kern w:val="0"/>
          <w:sz w:val="24"/>
          <w:szCs w:val="24"/>
          <w14:ligatures w14:val="none"/>
        </w:rPr>
        <w:t>informācijas sistēmā</w:t>
      </w:r>
      <w:r w:rsidR="00F10DEE" w:rsidRPr="00A433B9">
        <w:rPr>
          <w:rFonts w:ascii="Times New Roman" w:eastAsia="Calibri" w:hAnsi="Times New Roman" w:cs="Times New Roman"/>
          <w:kern w:val="0"/>
          <w:sz w:val="24"/>
          <w:szCs w:val="24"/>
          <w14:ligatures w14:val="none"/>
        </w:rPr>
        <w:t>, ir iespējams sagatavot konsolidēto versiju.</w:t>
      </w:r>
    </w:p>
    <w:p w14:paraId="7CC0BA2D" w14:textId="55EF6700" w:rsidR="008962C9" w:rsidRPr="00A433B9" w:rsidRDefault="00254711" w:rsidP="008E12B2">
      <w:pPr>
        <w:ind w:left="284" w:hanging="426"/>
        <w:jc w:val="both"/>
        <w:rPr>
          <w:rFonts w:ascii="Times New Roman" w:eastAsia="Calibri" w:hAnsi="Times New Roman" w:cs="Times New Roman"/>
          <w:strike/>
          <w:kern w:val="0"/>
          <w:sz w:val="24"/>
          <w:szCs w:val="24"/>
          <w14:ligatures w14:val="none"/>
        </w:rPr>
      </w:pPr>
      <w:r w:rsidRPr="00A433B9">
        <w:rPr>
          <w:rFonts w:ascii="Times New Roman" w:eastAsia="Calibri" w:hAnsi="Times New Roman" w:cs="Times New Roman"/>
          <w:kern w:val="0"/>
          <w:sz w:val="24"/>
          <w:szCs w:val="24"/>
          <w14:ligatures w14:val="none"/>
        </w:rPr>
        <w:t xml:space="preserve">3.6. </w:t>
      </w:r>
      <w:r w:rsidR="008962C9" w:rsidRPr="00A433B9">
        <w:rPr>
          <w:rFonts w:ascii="Times New Roman" w:eastAsia="Calibri" w:hAnsi="Times New Roman" w:cs="Times New Roman"/>
          <w:kern w:val="0"/>
          <w:sz w:val="24"/>
          <w:szCs w:val="24"/>
          <w14:ligatures w14:val="none"/>
        </w:rPr>
        <w:t xml:space="preserve"> </w:t>
      </w:r>
      <w:r w:rsidRPr="00A433B9">
        <w:rPr>
          <w:rFonts w:ascii="Times New Roman" w:eastAsia="Calibri" w:hAnsi="Times New Roman" w:cs="Times New Roman"/>
          <w:kern w:val="0"/>
          <w:sz w:val="24"/>
          <w:szCs w:val="24"/>
          <w14:ligatures w14:val="none"/>
        </w:rPr>
        <w:t>Konsolidētājs POSTDOC informācijas sistēmā</w:t>
      </w:r>
      <w:r w:rsidR="008962C9" w:rsidRPr="00A433B9">
        <w:rPr>
          <w:rFonts w:ascii="Times New Roman" w:eastAsia="Calibri" w:hAnsi="Times New Roman" w:cs="Times New Roman"/>
          <w:kern w:val="0"/>
          <w:sz w:val="24"/>
          <w:szCs w:val="24"/>
          <w14:ligatures w14:val="none"/>
        </w:rPr>
        <w:t xml:space="preserve"> izstrādā konsolidētā viedokļa </w:t>
      </w:r>
      <w:r w:rsidR="008E12B2" w:rsidRPr="00A433B9">
        <w:rPr>
          <w:rFonts w:ascii="Times New Roman" w:eastAsia="Calibri" w:hAnsi="Times New Roman" w:cs="Times New Roman"/>
          <w:kern w:val="0"/>
          <w:sz w:val="24"/>
          <w:szCs w:val="24"/>
          <w14:ligatures w14:val="none"/>
        </w:rPr>
        <w:t>projektu. Pirmais</w:t>
      </w:r>
      <w:r w:rsidR="008962C9" w:rsidRPr="00A433B9">
        <w:rPr>
          <w:rFonts w:ascii="Times New Roman" w:eastAsia="Calibri" w:hAnsi="Times New Roman" w:cs="Times New Roman"/>
          <w:kern w:val="0"/>
          <w:sz w:val="24"/>
          <w:szCs w:val="24"/>
          <w14:ligatures w14:val="none"/>
        </w:rPr>
        <w:t xml:space="preserve"> eksperts izsaka piekrišanu šim projektam vai arī izsaka iebildumus un savus priekšlikumus vērtējumam un argumentācijai. Pēc iebildumu saņemšanas </w:t>
      </w:r>
      <w:r w:rsidR="008E12B2" w:rsidRPr="00A433B9">
        <w:rPr>
          <w:rFonts w:ascii="Times New Roman" w:eastAsia="Calibri" w:hAnsi="Times New Roman" w:cs="Times New Roman"/>
          <w:kern w:val="0"/>
          <w:sz w:val="24"/>
          <w:szCs w:val="24"/>
          <w14:ligatures w14:val="none"/>
        </w:rPr>
        <w:t>konsolidētājs</w:t>
      </w:r>
      <w:r w:rsidR="008962C9" w:rsidRPr="00A433B9">
        <w:rPr>
          <w:rFonts w:ascii="Times New Roman" w:eastAsia="Calibri" w:hAnsi="Times New Roman" w:cs="Times New Roman"/>
          <w:kern w:val="0"/>
          <w:sz w:val="24"/>
          <w:szCs w:val="24"/>
          <w14:ligatures w14:val="none"/>
        </w:rPr>
        <w:t xml:space="preserve"> sagatavo jaunu konsolidētā viedokļa projektu. Viedokļa saskaņošana var ietvert vairākas kārtas. Konsolidētais viedoklis tiek uzskatīts par saskaņotu pēc konsolidētā viedokļa apstiprināšanas POSTDOC informācijas sistēmā</w:t>
      </w:r>
      <w:r w:rsidR="008E12B2" w:rsidRPr="00A433B9">
        <w:rPr>
          <w:rFonts w:ascii="Times New Roman" w:eastAsia="Calibri" w:hAnsi="Times New Roman" w:cs="Times New Roman"/>
          <w:kern w:val="0"/>
          <w:sz w:val="24"/>
          <w:szCs w:val="24"/>
          <w14:ligatures w14:val="none"/>
        </w:rPr>
        <w:t>.</w:t>
      </w:r>
    </w:p>
    <w:p w14:paraId="08B34264" w14:textId="14217A2B" w:rsidR="008962C9" w:rsidRPr="00A433B9" w:rsidRDefault="008962C9" w:rsidP="0036416F">
      <w:pPr>
        <w:ind w:left="284"/>
        <w:jc w:val="both"/>
        <w:rPr>
          <w:rFonts w:ascii="Times New Roman" w:eastAsia="Calibri" w:hAnsi="Times New Roman" w:cs="Times New Roman"/>
          <w:kern w:val="0"/>
          <w:sz w:val="24"/>
          <w:szCs w:val="24"/>
          <w14:ligatures w14:val="none"/>
        </w:rPr>
      </w:pPr>
      <w:r w:rsidRPr="00A433B9">
        <w:rPr>
          <w:rFonts w:ascii="Times New Roman" w:eastAsia="Calibri" w:hAnsi="Times New Roman" w:cs="Times New Roman"/>
          <w:kern w:val="0"/>
          <w:sz w:val="24"/>
          <w:szCs w:val="24"/>
          <w14:ligatures w14:val="none"/>
        </w:rPr>
        <w:t>Konsolidētais viedoklis satur vērtējumu, pamatotu argumentāciju katrā no vērtēšanas kritērijiem, kā arī ieteikumus pētniecības pieteikuma īstenošanas procesa uzlabošanai. Argumentācijas daļā katrā no vērtēšanas kritērijiem jānorāda arī pētniecības pieteikuma īstenošanas progresa spēcīgās un vājās puses, kas var kalpot kā ieteikumi pētniecības pieteikuma īstenošanas procesa uzlabošanai.</w:t>
      </w:r>
    </w:p>
    <w:p w14:paraId="6006BB7C" w14:textId="63588FF9" w:rsidR="008962C9" w:rsidRPr="00A433B9" w:rsidRDefault="008962C9" w:rsidP="0036416F">
      <w:pPr>
        <w:ind w:left="284"/>
        <w:jc w:val="both"/>
        <w:rPr>
          <w:rFonts w:ascii="Times New Roman" w:eastAsia="Calibri" w:hAnsi="Times New Roman" w:cs="Times New Roman"/>
          <w:kern w:val="0"/>
          <w:sz w:val="24"/>
          <w:szCs w:val="24"/>
          <w14:ligatures w14:val="none"/>
        </w:rPr>
      </w:pPr>
      <w:r w:rsidRPr="00A433B9">
        <w:rPr>
          <w:rFonts w:ascii="Times New Roman" w:eastAsia="Calibri" w:hAnsi="Times New Roman" w:cs="Times New Roman"/>
          <w:kern w:val="0"/>
          <w:sz w:val="24"/>
          <w:szCs w:val="24"/>
          <w14:ligatures w14:val="none"/>
        </w:rPr>
        <w:t>Ar konsolidēto viedokli anonīmā formā bez ekspertu vārdiem ir tiesības iepazīties pēcdoktorantam un pētniecības pieteikuma īstenotājam.</w:t>
      </w:r>
    </w:p>
    <w:p w14:paraId="7D5376FC" w14:textId="123B80F4" w:rsidR="008962C9" w:rsidRPr="008962C9" w:rsidRDefault="000D4F26" w:rsidP="000D4F26">
      <w:pPr>
        <w:ind w:left="284" w:hanging="426"/>
        <w:jc w:val="both"/>
        <w:rPr>
          <w:rFonts w:ascii="Times New Roman" w:eastAsia="Calibri" w:hAnsi="Times New Roman" w:cs="Times New Roman"/>
          <w:kern w:val="0"/>
          <w:sz w:val="24"/>
          <w:szCs w:val="24"/>
          <w14:ligatures w14:val="none"/>
        </w:rPr>
      </w:pPr>
      <w:r w:rsidRPr="00A433B9">
        <w:rPr>
          <w:rFonts w:ascii="Times New Roman" w:eastAsia="Calibri" w:hAnsi="Times New Roman" w:cs="Times New Roman"/>
          <w:kern w:val="0"/>
          <w:sz w:val="24"/>
          <w:szCs w:val="24"/>
          <w14:ligatures w14:val="none"/>
        </w:rPr>
        <w:t xml:space="preserve">3.7. </w:t>
      </w:r>
      <w:r w:rsidR="008962C9" w:rsidRPr="00A433B9">
        <w:rPr>
          <w:rFonts w:ascii="Times New Roman" w:eastAsia="Calibri" w:hAnsi="Times New Roman" w:cs="Times New Roman"/>
          <w:kern w:val="0"/>
          <w:sz w:val="24"/>
          <w:szCs w:val="24"/>
          <w14:ligatures w14:val="none"/>
        </w:rPr>
        <w:t xml:space="preserve">Ja </w:t>
      </w:r>
      <w:r w:rsidRPr="00A433B9">
        <w:rPr>
          <w:rFonts w:ascii="Times New Roman" w:eastAsia="Calibri" w:hAnsi="Times New Roman" w:cs="Times New Roman"/>
          <w:kern w:val="0"/>
          <w:sz w:val="24"/>
          <w:szCs w:val="24"/>
          <w14:ligatures w14:val="none"/>
        </w:rPr>
        <w:t>konsolidētājs</w:t>
      </w:r>
      <w:r w:rsidR="008962C9" w:rsidRPr="00A433B9">
        <w:rPr>
          <w:rFonts w:ascii="Times New Roman" w:eastAsia="Calibri" w:hAnsi="Times New Roman" w:cs="Times New Roman"/>
          <w:kern w:val="0"/>
          <w:sz w:val="24"/>
          <w:szCs w:val="24"/>
          <w14:ligatures w14:val="none"/>
        </w:rPr>
        <w:t xml:space="preserve"> un </w:t>
      </w:r>
      <w:r w:rsidRPr="00A433B9">
        <w:rPr>
          <w:rFonts w:ascii="Times New Roman" w:eastAsia="Calibri" w:hAnsi="Times New Roman" w:cs="Times New Roman"/>
          <w:kern w:val="0"/>
          <w:sz w:val="24"/>
          <w:szCs w:val="24"/>
          <w14:ligatures w14:val="none"/>
        </w:rPr>
        <w:t>pirmais</w:t>
      </w:r>
      <w:r w:rsidR="008962C9" w:rsidRPr="00A433B9">
        <w:rPr>
          <w:rFonts w:ascii="Times New Roman" w:eastAsia="Calibri" w:hAnsi="Times New Roman" w:cs="Times New Roman"/>
          <w:kern w:val="0"/>
          <w:sz w:val="24"/>
          <w:szCs w:val="24"/>
          <w14:ligatures w14:val="none"/>
        </w:rPr>
        <w:t xml:space="preserve"> eksperts atzīst, ka to starpā pastāv principiālas domstarpības un nav iespējams panākt pētniecības pieteikuma konsolidēta viedokļa sasniegšanu</w:t>
      </w:r>
      <w:r w:rsidR="008962C9" w:rsidRPr="008962C9">
        <w:rPr>
          <w:rFonts w:ascii="Times New Roman" w:eastAsia="Calibri" w:hAnsi="Times New Roman" w:cs="Times New Roman"/>
          <w:kern w:val="0"/>
          <w:sz w:val="24"/>
          <w:szCs w:val="24"/>
          <w14:ligatures w14:val="none"/>
        </w:rPr>
        <w:t>, viņi par to informē padomi un pārtrauc šī pētniecības pieteikuma tālāku izvērtēšanu.</w:t>
      </w:r>
    </w:p>
    <w:p w14:paraId="060893D1" w14:textId="426C8260" w:rsidR="008962C9" w:rsidRPr="008962C9" w:rsidRDefault="008962C9" w:rsidP="00703676">
      <w:pPr>
        <w:ind w:left="284"/>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 xml:space="preserve">Padome šādā gadījumā pieaicina trešo ekspertu – strīda izšķīrēju. Viņš tiek iepazīstināts ar abu iepriekšējo ekspertu sagatavotajiem sākotnējiem individuālajiem vērtējumiem, </w:t>
      </w:r>
      <w:r w:rsidR="00703676" w:rsidRPr="00703676">
        <w:rPr>
          <w:rFonts w:ascii="Times New Roman" w:eastAsia="Calibri" w:hAnsi="Times New Roman" w:cs="Times New Roman"/>
          <w:kern w:val="0"/>
          <w:sz w:val="24"/>
          <w:szCs w:val="24"/>
          <w14:ligatures w14:val="none"/>
        </w:rPr>
        <w:t>konsolidētāja</w:t>
      </w:r>
      <w:r w:rsidRPr="008962C9">
        <w:rPr>
          <w:rFonts w:ascii="Times New Roman" w:eastAsia="Calibri" w:hAnsi="Times New Roman" w:cs="Times New Roman"/>
          <w:kern w:val="0"/>
          <w:sz w:val="24"/>
          <w:szCs w:val="24"/>
          <w14:ligatures w14:val="none"/>
        </w:rPr>
        <w:t xml:space="preserve"> izstrādātajiem konsolidētā viedokļa projektiem un </w:t>
      </w:r>
      <w:r w:rsidR="00703676" w:rsidRPr="00703676">
        <w:rPr>
          <w:rFonts w:ascii="Times New Roman" w:eastAsia="Calibri" w:hAnsi="Times New Roman" w:cs="Times New Roman"/>
          <w:kern w:val="0"/>
          <w:sz w:val="24"/>
          <w:szCs w:val="24"/>
          <w14:ligatures w14:val="none"/>
        </w:rPr>
        <w:t>pirmā</w:t>
      </w:r>
      <w:r w:rsidRPr="008962C9">
        <w:rPr>
          <w:rFonts w:ascii="Times New Roman" w:eastAsia="Calibri" w:hAnsi="Times New Roman" w:cs="Times New Roman"/>
          <w:kern w:val="0"/>
          <w:sz w:val="24"/>
          <w:szCs w:val="24"/>
          <w14:ligatures w14:val="none"/>
        </w:rPr>
        <w:t xml:space="preserve"> eksperta iebildumiem. Trešais eksperts sagatavo jaunu konsolidētu viedokli un iesniedz to </w:t>
      </w:r>
      <w:r w:rsidR="00703676" w:rsidRPr="00703676">
        <w:rPr>
          <w:rFonts w:ascii="Times New Roman" w:eastAsia="Calibri" w:hAnsi="Times New Roman" w:cs="Times New Roman"/>
          <w:kern w:val="0"/>
          <w:sz w:val="24"/>
          <w:szCs w:val="24"/>
          <w14:ligatures w14:val="none"/>
        </w:rPr>
        <w:t>padomei</w:t>
      </w:r>
      <w:r w:rsidRPr="008962C9">
        <w:rPr>
          <w:rFonts w:ascii="Times New Roman" w:eastAsia="Calibri" w:hAnsi="Times New Roman" w:cs="Times New Roman"/>
          <w:kern w:val="0"/>
          <w:sz w:val="24"/>
          <w:szCs w:val="24"/>
          <w14:ligatures w14:val="none"/>
        </w:rPr>
        <w:t>. Vērtējums katrā no kritērijiem šajā viedoklī nevar pārsniegt individuālajos vērtējumos doto augstāko vai zemāko vērtējumu. Argumentācijai katrā kritērijā ir jāapkopo visu trīs ekspertu viedokļi.</w:t>
      </w:r>
    </w:p>
    <w:p w14:paraId="41203CD5" w14:textId="03A62420" w:rsidR="008962C9" w:rsidRPr="008962C9" w:rsidRDefault="00EF7C7D" w:rsidP="00EF7C7D">
      <w:pPr>
        <w:keepNext/>
        <w:keepLines/>
        <w:spacing w:before="240" w:after="0"/>
        <w:ind w:left="284" w:hanging="426"/>
        <w:jc w:val="both"/>
        <w:outlineLvl w:val="0"/>
        <w:rPr>
          <w:rFonts w:ascii="Times New Roman" w:eastAsia="Times New Roman" w:hAnsi="Times New Roman" w:cs="Times New Roman"/>
          <w:b/>
          <w:kern w:val="0"/>
          <w:sz w:val="24"/>
          <w:szCs w:val="24"/>
          <w14:ligatures w14:val="none"/>
        </w:rPr>
      </w:pPr>
      <w:r w:rsidRPr="00EF7C7D">
        <w:rPr>
          <w:rFonts w:ascii="Times New Roman" w:eastAsia="Times New Roman" w:hAnsi="Times New Roman" w:cs="Times New Roman"/>
          <w:b/>
          <w:kern w:val="0"/>
          <w:sz w:val="24"/>
          <w:szCs w:val="24"/>
          <w14:ligatures w14:val="none"/>
        </w:rPr>
        <w:t>4</w:t>
      </w:r>
      <w:r w:rsidR="008962C9" w:rsidRPr="008962C9">
        <w:rPr>
          <w:rFonts w:ascii="Times New Roman" w:eastAsia="Times New Roman" w:hAnsi="Times New Roman" w:cs="Times New Roman"/>
          <w:b/>
          <w:kern w:val="0"/>
          <w:sz w:val="24"/>
          <w:szCs w:val="24"/>
          <w14:ligatures w14:val="none"/>
        </w:rPr>
        <w:t xml:space="preserve">. </w:t>
      </w:r>
      <w:r w:rsidRPr="00EF7C7D">
        <w:rPr>
          <w:rFonts w:ascii="Times New Roman" w:eastAsia="Times New Roman" w:hAnsi="Times New Roman" w:cs="Times New Roman"/>
          <w:b/>
          <w:kern w:val="0"/>
          <w:sz w:val="24"/>
          <w:szCs w:val="24"/>
          <w14:ligatures w14:val="none"/>
        </w:rPr>
        <w:t>R</w:t>
      </w:r>
      <w:r w:rsidR="008962C9" w:rsidRPr="008962C9">
        <w:rPr>
          <w:rFonts w:ascii="Times New Roman" w:eastAsia="Times New Roman" w:hAnsi="Times New Roman" w:cs="Times New Roman"/>
          <w:b/>
          <w:kern w:val="0"/>
          <w:sz w:val="24"/>
          <w:szCs w:val="24"/>
          <w14:ligatures w14:val="none"/>
        </w:rPr>
        <w:t>ezultātu zinātniskās kvalitātes vērtēšanas kritēriji, to skaidrojums</w:t>
      </w:r>
    </w:p>
    <w:p w14:paraId="30BF4B7B" w14:textId="77777777" w:rsidR="00E66007" w:rsidRDefault="00E66007" w:rsidP="00E66007">
      <w:pPr>
        <w:ind w:left="284" w:hanging="426"/>
        <w:jc w:val="both"/>
        <w:rPr>
          <w:rFonts w:ascii="Times New Roman" w:eastAsia="Calibri" w:hAnsi="Times New Roman" w:cs="Times New Roman"/>
          <w:kern w:val="0"/>
          <w14:ligatures w14:val="none"/>
        </w:rPr>
      </w:pPr>
      <w:r w:rsidRPr="00E66007">
        <w:rPr>
          <w:rFonts w:ascii="Times New Roman" w:eastAsia="Calibri" w:hAnsi="Times New Roman" w:cs="Times New Roman"/>
          <w:kern w:val="0"/>
          <w:sz w:val="24"/>
          <w:szCs w:val="24"/>
          <w14:ligatures w14:val="none"/>
        </w:rPr>
        <w:t>4</w:t>
      </w:r>
      <w:r w:rsidR="008962C9" w:rsidRPr="008962C9">
        <w:rPr>
          <w:rFonts w:ascii="Times New Roman" w:eastAsia="Calibri" w:hAnsi="Times New Roman" w:cs="Times New Roman"/>
          <w:kern w:val="0"/>
          <w:sz w:val="24"/>
          <w:szCs w:val="24"/>
          <w14:ligatures w14:val="none"/>
        </w:rPr>
        <w:t>.1. Dotais trīs kritēriju skaidrojums nav uzskatāms par izsmeļošu vai izslēdzošu, eksperti ir tiesīgi to izprast un piemērot atbilstoši starptautiskajā zinātniskajā sabiedrībā pieņemtajai zinātnisko projektu vērtēšanas praksei un principiem, kā arī adaptēt atbilstoši katrā zinātņu nozarē pieņemtajai praksei</w:t>
      </w:r>
      <w:r w:rsidR="008962C9" w:rsidRPr="008962C9">
        <w:rPr>
          <w:rFonts w:ascii="Times New Roman" w:eastAsia="Calibri" w:hAnsi="Times New Roman" w:cs="Times New Roman"/>
          <w:kern w:val="0"/>
          <w14:ligatures w14:val="none"/>
        </w:rPr>
        <w:t>.</w:t>
      </w:r>
    </w:p>
    <w:p w14:paraId="50E47204" w14:textId="397459D2" w:rsidR="008962C9" w:rsidRPr="008962C9" w:rsidRDefault="00E66007" w:rsidP="00E66007">
      <w:pPr>
        <w:ind w:left="284" w:hanging="426"/>
        <w:jc w:val="both"/>
        <w:rPr>
          <w:rFonts w:ascii="Times New Roman" w:eastAsia="Calibri" w:hAnsi="Times New Roman" w:cs="Times New Roman"/>
          <w:kern w:val="0"/>
          <w:sz w:val="24"/>
          <w:szCs w:val="24"/>
          <w14:ligatures w14:val="none"/>
        </w:rPr>
      </w:pPr>
      <w:r w:rsidRPr="00985EAF">
        <w:rPr>
          <w:rFonts w:ascii="Times New Roman" w:eastAsia="Calibri" w:hAnsi="Times New Roman" w:cs="Times New Roman"/>
          <w:kern w:val="0"/>
          <w:sz w:val="24"/>
          <w:szCs w:val="24"/>
          <w14:ligatures w14:val="none"/>
        </w:rPr>
        <w:t xml:space="preserve">4.2. </w:t>
      </w:r>
      <w:r w:rsidR="008962C9" w:rsidRPr="008962C9">
        <w:rPr>
          <w:rFonts w:ascii="Times New Roman" w:eastAsia="Calibri" w:hAnsi="Times New Roman" w:cs="Times New Roman"/>
          <w:kern w:val="0"/>
          <w:sz w:val="24"/>
          <w:szCs w:val="24"/>
          <w14:ligatures w14:val="none"/>
        </w:rPr>
        <w:t>Ziņojuma atbilstību vērtēšanas kritērijam eksperts raksturo ar vērtējumu, kam ir šāda nozīme:</w:t>
      </w:r>
    </w:p>
    <w:p w14:paraId="66F6EE86" w14:textId="77777777" w:rsidR="008962C9" w:rsidRPr="008962C9" w:rsidRDefault="008962C9" w:rsidP="00BB4BCC">
      <w:pPr>
        <w:spacing w:after="60"/>
        <w:ind w:left="1276" w:hanging="992"/>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b/>
          <w:bCs/>
          <w:kern w:val="0"/>
          <w:sz w:val="24"/>
          <w:szCs w:val="24"/>
          <w14:ligatures w14:val="none"/>
        </w:rPr>
        <w:t>Neatbilst</w:t>
      </w:r>
      <w:r w:rsidRPr="008962C9">
        <w:rPr>
          <w:rFonts w:ascii="Times New Roman" w:eastAsia="Calibri" w:hAnsi="Times New Roman" w:cs="Times New Roman"/>
          <w:kern w:val="0"/>
          <w:sz w:val="24"/>
          <w:szCs w:val="24"/>
          <w14:ligatures w14:val="none"/>
        </w:rPr>
        <w:t xml:space="preserve"> – pētniecības pieteikuma īstenošanā ir konstatēti būtiski trūkumi, kas padara apšaubāmu pētniecības pieteikuma turpmāko īstenošanu un mērķu un rezultātu sasniegšanu,</w:t>
      </w:r>
    </w:p>
    <w:p w14:paraId="2A297A2D" w14:textId="77777777" w:rsidR="008962C9" w:rsidRPr="008962C9" w:rsidRDefault="008962C9" w:rsidP="00BB4BCC">
      <w:pPr>
        <w:spacing w:after="60"/>
        <w:ind w:left="1276" w:hanging="992"/>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b/>
          <w:bCs/>
          <w:kern w:val="0"/>
          <w:sz w:val="24"/>
          <w:szCs w:val="24"/>
          <w14:ligatures w14:val="none"/>
        </w:rPr>
        <w:lastRenderedPageBreak/>
        <w:t>Atbilst, ar ieteikumiem</w:t>
      </w:r>
      <w:r w:rsidRPr="008962C9">
        <w:rPr>
          <w:rFonts w:ascii="Times New Roman" w:eastAsia="Calibri" w:hAnsi="Times New Roman" w:cs="Times New Roman"/>
          <w:kern w:val="0"/>
          <w:sz w:val="24"/>
          <w:szCs w:val="24"/>
          <w14:ligatures w14:val="none"/>
        </w:rPr>
        <w:t xml:space="preserve"> – pētniecības pieteikuma īstenošanā konstatēti trūkumi, kas, ja netiek veiktas izmaiņas un uzlabojumi pieteikumā, padara apgrūtinošu pētniecības pieteikuma īstenošanu kopumā un mērķu un rezultātu sasniegšanu,</w:t>
      </w:r>
    </w:p>
    <w:p w14:paraId="1440CE9E" w14:textId="77777777" w:rsidR="008962C9" w:rsidRPr="008962C9" w:rsidRDefault="008962C9" w:rsidP="00BB4BCC">
      <w:pPr>
        <w:spacing w:after="60"/>
        <w:ind w:left="1276" w:hanging="992"/>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b/>
          <w:bCs/>
          <w:kern w:val="0"/>
          <w:sz w:val="24"/>
          <w:szCs w:val="24"/>
          <w14:ligatures w14:val="none"/>
        </w:rPr>
        <w:t>Atbilst</w:t>
      </w:r>
      <w:r w:rsidRPr="008962C9">
        <w:rPr>
          <w:rFonts w:ascii="Times New Roman" w:eastAsia="Calibri" w:hAnsi="Times New Roman" w:cs="Times New Roman"/>
          <w:kern w:val="0"/>
          <w:sz w:val="24"/>
          <w:szCs w:val="24"/>
          <w14:ligatures w14:val="none"/>
        </w:rPr>
        <w:t xml:space="preserve"> – pētniecības pieteikumā īstenošanā nav konstatēti trūkumi vai tie ir nenozīmīgi un nekavē pētniecības pieteikuma sekmīgu īstenošanu un rezultātu sasniegšanu.</w:t>
      </w:r>
    </w:p>
    <w:p w14:paraId="154334B4" w14:textId="68BD15FF" w:rsidR="008962C9" w:rsidRPr="008962C9" w:rsidRDefault="008962C9" w:rsidP="008962C9">
      <w:pPr>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Veicot vērtēšanu</w:t>
      </w:r>
      <w:r w:rsidR="00BB4BCC" w:rsidRPr="002D059F">
        <w:rPr>
          <w:rFonts w:ascii="Times New Roman" w:eastAsia="Calibri" w:hAnsi="Times New Roman" w:cs="Times New Roman"/>
          <w:kern w:val="0"/>
          <w:sz w:val="24"/>
          <w:szCs w:val="24"/>
          <w14:ligatures w14:val="none"/>
        </w:rPr>
        <w:t>,</w:t>
      </w:r>
      <w:r w:rsidRPr="008962C9">
        <w:rPr>
          <w:rFonts w:ascii="Times New Roman" w:eastAsia="Calibri" w:hAnsi="Times New Roman" w:cs="Times New Roman"/>
          <w:kern w:val="0"/>
          <w:sz w:val="24"/>
          <w:szCs w:val="24"/>
          <w14:ligatures w14:val="none"/>
        </w:rPr>
        <w:t xml:space="preserve"> ekspertiem jāņem vērā attiecīgā pētījumu virziena specifika</w:t>
      </w:r>
      <w:r w:rsidR="00BB4BCC" w:rsidRPr="002D059F">
        <w:rPr>
          <w:rFonts w:ascii="Times New Roman" w:eastAsia="Calibri" w:hAnsi="Times New Roman" w:cs="Times New Roman"/>
          <w:kern w:val="0"/>
          <w:sz w:val="24"/>
          <w:szCs w:val="24"/>
          <w14:ligatures w14:val="none"/>
        </w:rPr>
        <w:t>.</w:t>
      </w:r>
    </w:p>
    <w:p w14:paraId="4E49A4CC" w14:textId="6D34A13D" w:rsidR="008962C9" w:rsidRPr="002D059F" w:rsidRDefault="00AA77FE" w:rsidP="002D059F">
      <w:pPr>
        <w:keepNext/>
        <w:keepLines/>
        <w:spacing w:before="40" w:after="0"/>
        <w:ind w:left="284" w:hanging="426"/>
        <w:jc w:val="both"/>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4.3</w:t>
      </w:r>
      <w:r w:rsidR="008962C9" w:rsidRPr="002D059F">
        <w:rPr>
          <w:rFonts w:ascii="Times New Roman" w:eastAsia="Times New Roman" w:hAnsi="Times New Roman" w:cs="Times New Roman"/>
          <w:bCs/>
          <w:kern w:val="0"/>
          <w:sz w:val="24"/>
          <w:szCs w:val="24"/>
          <w14:ligatures w14:val="none"/>
        </w:rPr>
        <w:t xml:space="preserve">. Zinātniskā kvalitāte </w:t>
      </w:r>
    </w:p>
    <w:p w14:paraId="7A4403EB" w14:textId="77777777" w:rsidR="008962C9" w:rsidRPr="008962C9" w:rsidRDefault="008962C9" w:rsidP="00AA77FE">
      <w:pPr>
        <w:keepNext/>
        <w:keepLines/>
        <w:ind w:left="284"/>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Ekspertam jāizvērtē:</w:t>
      </w:r>
    </w:p>
    <w:p w14:paraId="1E573819" w14:textId="77777777" w:rsidR="008962C9" w:rsidRPr="008962C9" w:rsidRDefault="008962C9" w:rsidP="009E1C01">
      <w:pPr>
        <w:widowControl w:val="0"/>
        <w:numPr>
          <w:ilvl w:val="0"/>
          <w:numId w:val="35"/>
        </w:numPr>
        <w:spacing w:after="200"/>
        <w:ind w:left="284" w:hanging="426"/>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color w:val="000000"/>
          <w:kern w:val="0"/>
          <w:sz w:val="24"/>
          <w:szCs w:val="24"/>
          <w14:ligatures w14:val="none"/>
        </w:rPr>
        <w:t>Vai pētniecības pieteikuma īstenošanas gaita ir vērsta uz pieteikumā plānoto mērķu (tai skaitā RIS3 izaugsmes prioritātēm vai viedās specializācijas jomai) un rezultātu sasniegšanu;</w:t>
      </w:r>
    </w:p>
    <w:p w14:paraId="130FD5F3" w14:textId="77777777" w:rsidR="008962C9" w:rsidRPr="008962C9" w:rsidRDefault="008962C9" w:rsidP="009E1C01">
      <w:pPr>
        <w:widowControl w:val="0"/>
        <w:numPr>
          <w:ilvl w:val="0"/>
          <w:numId w:val="35"/>
        </w:numPr>
        <w:spacing w:after="200"/>
        <w:ind w:left="284" w:hanging="426"/>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color w:val="000000"/>
          <w:kern w:val="0"/>
          <w:sz w:val="24"/>
          <w:szCs w:val="24"/>
          <w14:ligatures w14:val="none"/>
        </w:rPr>
        <w:t>Vai pētniecības pieteikumā lietotā metodoloģija ir atbilstoša pētniecības pieteikuma mērķa un gala rezultātu sasniegšanai;</w:t>
      </w:r>
    </w:p>
    <w:p w14:paraId="618F8DF6" w14:textId="77777777" w:rsidR="008962C9" w:rsidRPr="008962C9" w:rsidRDefault="008962C9" w:rsidP="0055617F">
      <w:pPr>
        <w:widowControl w:val="0"/>
        <w:numPr>
          <w:ilvl w:val="0"/>
          <w:numId w:val="35"/>
        </w:numPr>
        <w:spacing w:after="200"/>
        <w:ind w:left="284" w:hanging="426"/>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color w:val="000000"/>
          <w:kern w:val="0"/>
          <w:sz w:val="24"/>
          <w:szCs w:val="24"/>
          <w14:ligatures w14:val="none"/>
        </w:rPr>
        <w:t>Vai sasniegtie pētniecības rezultāti ir skaidri un nepārprotami, to zinātniskā kvalitāte ir atbilstoša, ņemot vērā sasniegto rezultātu zinātnisko vērtību, novitātes līmeni, tajā skaitā:</w:t>
      </w:r>
    </w:p>
    <w:p w14:paraId="5B460988" w14:textId="77777777" w:rsidR="008962C9" w:rsidRPr="008962C9" w:rsidRDefault="008962C9" w:rsidP="0055617F">
      <w:pPr>
        <w:widowControl w:val="0"/>
        <w:numPr>
          <w:ilvl w:val="0"/>
          <w:numId w:val="38"/>
        </w:numPr>
        <w:spacing w:after="200"/>
        <w:ind w:left="709"/>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color w:val="000000"/>
          <w:kern w:val="0"/>
          <w:sz w:val="24"/>
          <w:szCs w:val="24"/>
          <w14:ligatures w14:val="none"/>
        </w:rPr>
        <w:t>līdz šim pētniecības pieteikumā veiktās darbības un sasniegtie rezultāti ir zinātniski kvalitatīvi un inovatīvi;</w:t>
      </w:r>
    </w:p>
    <w:p w14:paraId="28E88737" w14:textId="77777777" w:rsidR="008962C9" w:rsidRPr="008962C9" w:rsidRDefault="008962C9" w:rsidP="0055617F">
      <w:pPr>
        <w:widowControl w:val="0"/>
        <w:numPr>
          <w:ilvl w:val="0"/>
          <w:numId w:val="38"/>
        </w:numPr>
        <w:spacing w:after="200"/>
        <w:ind w:left="709"/>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color w:val="000000"/>
          <w:kern w:val="0"/>
          <w:sz w:val="24"/>
          <w:szCs w:val="24"/>
          <w14:ligatures w14:val="none"/>
        </w:rPr>
        <w:t>zinātniskajā rakstā</w:t>
      </w:r>
      <w:r w:rsidRPr="008962C9">
        <w:rPr>
          <w:rFonts w:ascii="Times New Roman" w:eastAsia="Calibri" w:hAnsi="Times New Roman" w:cs="Times New Roman"/>
          <w:color w:val="000000"/>
          <w:kern w:val="0"/>
          <w:sz w:val="24"/>
          <w:szCs w:val="24"/>
          <w:vertAlign w:val="superscript"/>
          <w14:ligatures w14:val="none"/>
        </w:rPr>
        <w:footnoteReference w:id="2"/>
      </w:r>
      <w:r w:rsidRPr="008962C9">
        <w:rPr>
          <w:rFonts w:ascii="Times New Roman" w:eastAsia="Calibri" w:hAnsi="Times New Roman" w:cs="Times New Roman"/>
          <w:color w:val="000000"/>
          <w:kern w:val="0"/>
          <w:sz w:val="24"/>
          <w:szCs w:val="24"/>
          <w14:ligatures w14:val="none"/>
        </w:rPr>
        <w:t xml:space="preserve"> iekļautā informācija atbilst pētniecības pieteikuma mērķim un saturam;</w:t>
      </w:r>
    </w:p>
    <w:p w14:paraId="7B981687" w14:textId="77777777" w:rsidR="008962C9" w:rsidRPr="008962C9" w:rsidRDefault="008962C9" w:rsidP="0055617F">
      <w:pPr>
        <w:widowControl w:val="0"/>
        <w:numPr>
          <w:ilvl w:val="0"/>
          <w:numId w:val="38"/>
        </w:numPr>
        <w:spacing w:after="0"/>
        <w:ind w:left="709" w:hanging="357"/>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color w:val="000000"/>
          <w:kern w:val="0"/>
          <w:sz w:val="24"/>
          <w:szCs w:val="24"/>
          <w14:ligatures w14:val="none"/>
        </w:rPr>
        <w:t>pētniecības pieteikuma īstenošanas ietvaros izstrādātais produkts vai tehnoloģija atbilst jauna produkta</w:t>
      </w:r>
      <w:r w:rsidRPr="008962C9">
        <w:rPr>
          <w:rFonts w:ascii="Times New Roman" w:eastAsia="Calibri" w:hAnsi="Times New Roman" w:cs="Times New Roman"/>
          <w:color w:val="000000"/>
          <w:kern w:val="0"/>
          <w:sz w:val="24"/>
          <w:szCs w:val="24"/>
          <w:vertAlign w:val="superscript"/>
          <w14:ligatures w14:val="none"/>
        </w:rPr>
        <w:footnoteReference w:id="3"/>
      </w:r>
      <w:r w:rsidRPr="008962C9">
        <w:rPr>
          <w:rFonts w:ascii="Times New Roman" w:eastAsia="Calibri" w:hAnsi="Times New Roman" w:cs="Times New Roman"/>
          <w:color w:val="000000"/>
          <w:kern w:val="0"/>
          <w:sz w:val="24"/>
          <w:szCs w:val="24"/>
          <w14:ligatures w14:val="none"/>
        </w:rPr>
        <w:t xml:space="preserve"> vai jaunas tehnoloģijas</w:t>
      </w:r>
      <w:r w:rsidRPr="008962C9">
        <w:rPr>
          <w:rFonts w:ascii="Times New Roman" w:eastAsia="Calibri" w:hAnsi="Times New Roman" w:cs="Times New Roman"/>
          <w:color w:val="000000"/>
          <w:kern w:val="0"/>
          <w:sz w:val="24"/>
          <w:szCs w:val="24"/>
          <w:vertAlign w:val="superscript"/>
          <w14:ligatures w14:val="none"/>
        </w:rPr>
        <w:footnoteReference w:id="4"/>
      </w:r>
      <w:r w:rsidRPr="008962C9">
        <w:rPr>
          <w:rFonts w:ascii="Times New Roman" w:eastAsia="Calibri" w:hAnsi="Times New Roman" w:cs="Times New Roman"/>
          <w:color w:val="000000"/>
          <w:kern w:val="0"/>
          <w:sz w:val="24"/>
          <w:szCs w:val="24"/>
          <w14:ligatures w14:val="none"/>
        </w:rPr>
        <w:t xml:space="preserve"> definīcijai. </w:t>
      </w:r>
      <w:proofErr w:type="spellStart"/>
      <w:r w:rsidRPr="008962C9">
        <w:rPr>
          <w:rFonts w:ascii="Times New Roman" w:eastAsia="Calibri" w:hAnsi="Times New Roman" w:cs="Times New Roman"/>
          <w:kern w:val="0"/>
          <w:sz w:val="24"/>
          <w:szCs w:val="24"/>
          <w:lang w:val="en-US"/>
          <w14:ligatures w14:val="none"/>
        </w:rPr>
        <w:t>Atbilstību</w:t>
      </w:r>
      <w:proofErr w:type="spellEnd"/>
      <w:r w:rsidRPr="008962C9">
        <w:rPr>
          <w:rFonts w:ascii="Times New Roman" w:eastAsia="Calibri" w:hAnsi="Times New Roman" w:cs="Times New Roman"/>
          <w:kern w:val="0"/>
          <w:sz w:val="24"/>
          <w:szCs w:val="24"/>
          <w:lang w:val="en-US"/>
          <w14:ligatures w14:val="none"/>
        </w:rPr>
        <w:t xml:space="preserve"> </w:t>
      </w:r>
      <w:proofErr w:type="spellStart"/>
      <w:r w:rsidRPr="008962C9">
        <w:rPr>
          <w:rFonts w:ascii="Times New Roman" w:eastAsia="Calibri" w:hAnsi="Times New Roman" w:cs="Times New Roman"/>
          <w:kern w:val="0"/>
          <w:sz w:val="24"/>
          <w:szCs w:val="24"/>
          <w:lang w:val="en-US"/>
          <w14:ligatures w14:val="none"/>
        </w:rPr>
        <w:t>jauna</w:t>
      </w:r>
      <w:proofErr w:type="spellEnd"/>
      <w:r w:rsidRPr="008962C9">
        <w:rPr>
          <w:rFonts w:ascii="Times New Roman" w:eastAsia="Calibri" w:hAnsi="Times New Roman" w:cs="Times New Roman"/>
          <w:kern w:val="0"/>
          <w:sz w:val="24"/>
          <w:szCs w:val="24"/>
          <w:lang w:val="en-US"/>
          <w14:ligatures w14:val="none"/>
        </w:rPr>
        <w:t xml:space="preserve"> </w:t>
      </w:r>
      <w:proofErr w:type="spellStart"/>
      <w:r w:rsidRPr="008962C9">
        <w:rPr>
          <w:rFonts w:ascii="Times New Roman" w:eastAsia="Calibri" w:hAnsi="Times New Roman" w:cs="Times New Roman"/>
          <w:kern w:val="0"/>
          <w:sz w:val="24"/>
          <w:szCs w:val="24"/>
          <w:lang w:val="en-US"/>
          <w14:ligatures w14:val="none"/>
        </w:rPr>
        <w:t>produkta</w:t>
      </w:r>
      <w:proofErr w:type="spellEnd"/>
      <w:r w:rsidRPr="008962C9">
        <w:rPr>
          <w:rFonts w:ascii="Times New Roman" w:eastAsia="Calibri" w:hAnsi="Times New Roman" w:cs="Times New Roman"/>
          <w:kern w:val="0"/>
          <w:sz w:val="24"/>
          <w:szCs w:val="24"/>
          <w:lang w:val="en-US"/>
          <w14:ligatures w14:val="none"/>
        </w:rPr>
        <w:t xml:space="preserve"> </w:t>
      </w:r>
      <w:proofErr w:type="spellStart"/>
      <w:r w:rsidRPr="008962C9">
        <w:rPr>
          <w:rFonts w:ascii="Times New Roman" w:eastAsia="Calibri" w:hAnsi="Times New Roman" w:cs="Times New Roman"/>
          <w:kern w:val="0"/>
          <w:sz w:val="24"/>
          <w:szCs w:val="24"/>
          <w:lang w:val="en-US"/>
          <w14:ligatures w14:val="none"/>
        </w:rPr>
        <w:t>vai</w:t>
      </w:r>
      <w:proofErr w:type="spellEnd"/>
      <w:r w:rsidRPr="008962C9">
        <w:rPr>
          <w:rFonts w:ascii="Times New Roman" w:eastAsia="Calibri" w:hAnsi="Times New Roman" w:cs="Times New Roman"/>
          <w:kern w:val="0"/>
          <w:sz w:val="24"/>
          <w:szCs w:val="24"/>
          <w:lang w:val="en-US"/>
          <w14:ligatures w14:val="none"/>
        </w:rPr>
        <w:t xml:space="preserve"> </w:t>
      </w:r>
      <w:proofErr w:type="spellStart"/>
      <w:r w:rsidRPr="008962C9">
        <w:rPr>
          <w:rFonts w:ascii="Times New Roman" w:eastAsia="Calibri" w:hAnsi="Times New Roman" w:cs="Times New Roman"/>
          <w:kern w:val="0"/>
          <w:sz w:val="24"/>
          <w:szCs w:val="24"/>
          <w:lang w:val="en-US"/>
          <w14:ligatures w14:val="none"/>
        </w:rPr>
        <w:t>tehnoloģijas</w:t>
      </w:r>
      <w:proofErr w:type="spellEnd"/>
      <w:r w:rsidRPr="008962C9">
        <w:rPr>
          <w:rFonts w:ascii="Times New Roman" w:eastAsia="Calibri" w:hAnsi="Times New Roman" w:cs="Times New Roman"/>
          <w:kern w:val="0"/>
          <w:sz w:val="24"/>
          <w:szCs w:val="24"/>
          <w:lang w:val="en-US"/>
          <w14:ligatures w14:val="none"/>
        </w:rPr>
        <w:t xml:space="preserve"> </w:t>
      </w:r>
      <w:proofErr w:type="spellStart"/>
      <w:r w:rsidRPr="008962C9">
        <w:rPr>
          <w:rFonts w:ascii="Times New Roman" w:eastAsia="Calibri" w:hAnsi="Times New Roman" w:cs="Times New Roman"/>
          <w:kern w:val="0"/>
          <w:sz w:val="24"/>
          <w:szCs w:val="24"/>
          <w:lang w:val="en-US"/>
          <w14:ligatures w14:val="none"/>
        </w:rPr>
        <w:t>definīcijai</w:t>
      </w:r>
      <w:proofErr w:type="spellEnd"/>
      <w:r w:rsidRPr="008962C9">
        <w:rPr>
          <w:rFonts w:ascii="Times New Roman" w:eastAsia="Calibri" w:hAnsi="Times New Roman" w:cs="Times New Roman"/>
          <w:kern w:val="0"/>
          <w:sz w:val="24"/>
          <w:szCs w:val="24"/>
          <w:lang w:val="en-US"/>
          <w14:ligatures w14:val="none"/>
        </w:rPr>
        <w:t xml:space="preserve"> </w:t>
      </w:r>
      <w:proofErr w:type="spellStart"/>
      <w:r w:rsidRPr="008962C9">
        <w:rPr>
          <w:rFonts w:ascii="Times New Roman" w:eastAsia="Calibri" w:hAnsi="Times New Roman" w:cs="Times New Roman"/>
          <w:kern w:val="0"/>
          <w:sz w:val="24"/>
          <w:szCs w:val="24"/>
          <w:lang w:val="en-US"/>
          <w14:ligatures w14:val="none"/>
        </w:rPr>
        <w:t>vērtē</w:t>
      </w:r>
      <w:proofErr w:type="spellEnd"/>
      <w:r w:rsidRPr="008962C9">
        <w:rPr>
          <w:rFonts w:ascii="Times New Roman" w:eastAsia="Calibri" w:hAnsi="Times New Roman" w:cs="Times New Roman"/>
          <w:kern w:val="0"/>
          <w:sz w:val="24"/>
          <w:szCs w:val="24"/>
          <w:lang w:val="en-US"/>
          <w14:ligatures w14:val="none"/>
        </w:rPr>
        <w:t xml:space="preserve">, </w:t>
      </w:r>
      <w:proofErr w:type="spellStart"/>
      <w:r w:rsidRPr="008962C9">
        <w:rPr>
          <w:rFonts w:ascii="Times New Roman" w:eastAsia="Calibri" w:hAnsi="Times New Roman" w:cs="Times New Roman"/>
          <w:kern w:val="0"/>
          <w:sz w:val="24"/>
          <w:szCs w:val="24"/>
          <w:lang w:val="en-US"/>
          <w14:ligatures w14:val="none"/>
        </w:rPr>
        <w:t>ņemot</w:t>
      </w:r>
      <w:proofErr w:type="spellEnd"/>
      <w:r w:rsidRPr="008962C9">
        <w:rPr>
          <w:rFonts w:ascii="Times New Roman" w:eastAsia="Calibri" w:hAnsi="Times New Roman" w:cs="Times New Roman"/>
          <w:kern w:val="0"/>
          <w:sz w:val="24"/>
          <w:szCs w:val="24"/>
          <w:lang w:val="en-US"/>
          <w14:ligatures w14:val="none"/>
        </w:rPr>
        <w:t xml:space="preserve"> </w:t>
      </w:r>
      <w:proofErr w:type="spellStart"/>
      <w:r w:rsidRPr="008962C9">
        <w:rPr>
          <w:rFonts w:ascii="Times New Roman" w:eastAsia="Calibri" w:hAnsi="Times New Roman" w:cs="Times New Roman"/>
          <w:kern w:val="0"/>
          <w:sz w:val="24"/>
          <w:szCs w:val="24"/>
          <w:lang w:val="en-US"/>
          <w14:ligatures w14:val="none"/>
        </w:rPr>
        <w:t>vērā</w:t>
      </w:r>
      <w:proofErr w:type="spellEnd"/>
      <w:r w:rsidRPr="008962C9">
        <w:rPr>
          <w:rFonts w:ascii="Times New Roman" w:eastAsia="Calibri" w:hAnsi="Times New Roman" w:cs="Times New Roman"/>
          <w:kern w:val="0"/>
          <w:sz w:val="24"/>
          <w:szCs w:val="24"/>
          <w:lang w:val="en-US"/>
          <w14:ligatures w14:val="none"/>
        </w:rPr>
        <w:t>:</w:t>
      </w:r>
    </w:p>
    <w:p w14:paraId="14A5392C" w14:textId="77777777" w:rsidR="008962C9" w:rsidRPr="008962C9" w:rsidRDefault="008962C9" w:rsidP="0055617F">
      <w:pPr>
        <w:numPr>
          <w:ilvl w:val="0"/>
          <w:numId w:val="39"/>
        </w:numPr>
        <w:spacing w:after="0" w:line="240" w:lineRule="auto"/>
        <w:ind w:left="1134" w:hanging="283"/>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tirgū esošo produktu vai tehnoloģiju analogu un pētniecības pieteikuma ietvaros izstrādātā prototipa mērķa tirgus un parametru salīdzinājumu: funkcionālais raksturojums, izmantošanas veids, tehniskā specifikācija, sastāvdaļas, materiāli, programmatūra, pašizmaksa;</w:t>
      </w:r>
    </w:p>
    <w:p w14:paraId="218F17D7" w14:textId="77777777" w:rsidR="008962C9" w:rsidRPr="008962C9" w:rsidRDefault="008962C9" w:rsidP="0055617F">
      <w:pPr>
        <w:numPr>
          <w:ilvl w:val="0"/>
          <w:numId w:val="39"/>
        </w:numPr>
        <w:spacing w:after="0" w:line="240" w:lineRule="auto"/>
        <w:ind w:left="1134" w:hanging="283"/>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pētniecības pieteikuma ietvaros izstrādātā jaunā produkta / tehnoloģijas prototipa komercializācijas potenciālu, ko raksturo tehnoloģijas gatavības līmenis (TRL) un inovācijas pakāpe</w:t>
      </w:r>
      <w:r w:rsidRPr="008962C9">
        <w:rPr>
          <w:rFonts w:ascii="Times New Roman" w:eastAsia="Calibri" w:hAnsi="Times New Roman" w:cs="Times New Roman"/>
          <w:color w:val="000000"/>
          <w:kern w:val="0"/>
          <w:sz w:val="24"/>
          <w:szCs w:val="24"/>
          <w14:ligatures w14:val="none"/>
        </w:rPr>
        <w:t>.</w:t>
      </w:r>
    </w:p>
    <w:p w14:paraId="4E4E1569" w14:textId="4D0B73BA" w:rsidR="008962C9" w:rsidRPr="008962C9" w:rsidRDefault="000E75FD" w:rsidP="002B6AFC">
      <w:pPr>
        <w:keepNext/>
        <w:keepLines/>
        <w:spacing w:before="40" w:after="0"/>
        <w:ind w:left="284" w:hanging="426"/>
        <w:jc w:val="both"/>
        <w:outlineLvl w:val="1"/>
        <w:rPr>
          <w:rFonts w:ascii="Times New Roman" w:eastAsia="Times New Roman" w:hAnsi="Times New Roman" w:cs="Times New Roman"/>
          <w:bCs/>
          <w:kern w:val="0"/>
          <w:sz w:val="24"/>
          <w:szCs w:val="24"/>
          <w14:ligatures w14:val="none"/>
        </w:rPr>
      </w:pPr>
      <w:r w:rsidRPr="002D7AB0">
        <w:rPr>
          <w:rFonts w:ascii="Times New Roman" w:eastAsia="Times New Roman" w:hAnsi="Times New Roman" w:cs="Times New Roman"/>
          <w:bCs/>
          <w:kern w:val="0"/>
          <w:sz w:val="24"/>
          <w:szCs w:val="24"/>
          <w14:ligatures w14:val="none"/>
        </w:rPr>
        <w:lastRenderedPageBreak/>
        <w:t>4</w:t>
      </w:r>
      <w:r w:rsidR="008962C9" w:rsidRPr="008962C9">
        <w:rPr>
          <w:rFonts w:ascii="Times New Roman" w:eastAsia="Times New Roman" w:hAnsi="Times New Roman" w:cs="Times New Roman"/>
          <w:bCs/>
          <w:kern w:val="0"/>
          <w:sz w:val="24"/>
          <w:szCs w:val="24"/>
          <w14:ligatures w14:val="none"/>
        </w:rPr>
        <w:t>.4. Sociālekonomiskā ietekme</w:t>
      </w:r>
    </w:p>
    <w:p w14:paraId="24982D2C" w14:textId="77777777" w:rsidR="008962C9" w:rsidRPr="008962C9" w:rsidRDefault="008962C9" w:rsidP="00985EAF">
      <w:pPr>
        <w:ind w:left="142"/>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Ekspertam jāizvērtē:</w:t>
      </w:r>
    </w:p>
    <w:p w14:paraId="7D09A428" w14:textId="77777777" w:rsidR="008962C9" w:rsidRPr="008962C9" w:rsidRDefault="008962C9" w:rsidP="00985EAF">
      <w:pPr>
        <w:widowControl w:val="0"/>
        <w:numPr>
          <w:ilvl w:val="0"/>
          <w:numId w:val="36"/>
        </w:numPr>
        <w:spacing w:after="200"/>
        <w:ind w:left="142" w:hanging="357"/>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 xml:space="preserve">sasniegto pētniecības pieteikumu rezultātu sociālā un ekonomiskā ietekme RIS3 noteikto tautsaimniecības transformācijas virzienu, prioritāšu vai </w:t>
      </w:r>
      <w:r w:rsidRPr="008962C9">
        <w:rPr>
          <w:rFonts w:ascii="Times New Roman" w:eastAsia="Calibri" w:hAnsi="Times New Roman" w:cs="Times New Roman"/>
          <w:color w:val="000000"/>
          <w:kern w:val="0"/>
          <w:sz w:val="24"/>
          <w:szCs w:val="24"/>
          <w14:ligatures w14:val="none"/>
        </w:rPr>
        <w:t xml:space="preserve">viedās specializācijas </w:t>
      </w:r>
      <w:r w:rsidRPr="008962C9">
        <w:rPr>
          <w:rFonts w:ascii="Times New Roman" w:eastAsia="Calibri" w:hAnsi="Times New Roman" w:cs="Times New Roman"/>
          <w:kern w:val="0"/>
          <w:sz w:val="24"/>
          <w:szCs w:val="24"/>
          <w14:ligatures w14:val="none"/>
        </w:rPr>
        <w:t>jomu īstenošanā,</w:t>
      </w:r>
    </w:p>
    <w:p w14:paraId="75EB950E" w14:textId="77777777" w:rsidR="008962C9" w:rsidRPr="008962C9" w:rsidRDefault="008962C9" w:rsidP="00985EAF">
      <w:pPr>
        <w:widowControl w:val="0"/>
        <w:numPr>
          <w:ilvl w:val="0"/>
          <w:numId w:val="36"/>
        </w:numPr>
        <w:spacing w:after="200"/>
        <w:ind w:left="142" w:hanging="357"/>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sasniegto pētniecības rezultātu izplatīšanas un pārneses pasākumu (tai skaitā zināšanu un tehnoloģiju pārneses) ietekme uz pētniecības pieteikuma īstenotāja, sadarbības partnera (ja attiecināms), tautsaimniecības attīstības un sabiedrības vajadzību nodrošināšanu;</w:t>
      </w:r>
    </w:p>
    <w:p w14:paraId="69C2241B" w14:textId="77777777" w:rsidR="008962C9" w:rsidRPr="008962C9" w:rsidRDefault="008962C9" w:rsidP="00985EAF">
      <w:pPr>
        <w:widowControl w:val="0"/>
        <w:numPr>
          <w:ilvl w:val="0"/>
          <w:numId w:val="36"/>
        </w:numPr>
        <w:spacing w:after="200"/>
        <w:ind w:left="142" w:hanging="357"/>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sasniegto pētniecības rezultātu ietekme uz pēcdoktoranta tālāko izaugsmi un zinātniskās kapacitātes pieaugumu;</w:t>
      </w:r>
    </w:p>
    <w:p w14:paraId="57F020E9" w14:textId="77777777" w:rsidR="008962C9" w:rsidRPr="008962C9" w:rsidRDefault="008962C9" w:rsidP="00985EAF">
      <w:pPr>
        <w:widowControl w:val="0"/>
        <w:numPr>
          <w:ilvl w:val="0"/>
          <w:numId w:val="36"/>
        </w:numPr>
        <w:spacing w:after="200"/>
        <w:ind w:left="142" w:hanging="357"/>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pētniecības pieteikuma ieguldījums starptautiskās sadarbības veicināšanā pētniecībā;</w:t>
      </w:r>
    </w:p>
    <w:p w14:paraId="322B6336" w14:textId="77777777" w:rsidR="008962C9" w:rsidRPr="002D7AB0" w:rsidRDefault="008962C9" w:rsidP="00985EAF">
      <w:pPr>
        <w:widowControl w:val="0"/>
        <w:numPr>
          <w:ilvl w:val="0"/>
          <w:numId w:val="36"/>
        </w:numPr>
        <w:spacing w:after="200"/>
        <w:ind w:left="142" w:hanging="357"/>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īstenoto komunikācijas darbību un sabiedrības iesaistīšanas atbilstība mērķauditorijas vajadzībām.</w:t>
      </w:r>
    </w:p>
    <w:p w14:paraId="46B69E11" w14:textId="77777777" w:rsidR="002D7AB0" w:rsidRPr="008962C9" w:rsidRDefault="002D7AB0" w:rsidP="002D7AB0">
      <w:pPr>
        <w:widowControl w:val="0"/>
        <w:spacing w:after="200"/>
        <w:ind w:left="1003"/>
        <w:contextualSpacing/>
        <w:jc w:val="both"/>
        <w:rPr>
          <w:rFonts w:ascii="Times New Roman" w:eastAsia="Calibri" w:hAnsi="Times New Roman" w:cs="Times New Roman"/>
          <w:kern w:val="0"/>
          <w14:ligatures w14:val="none"/>
        </w:rPr>
      </w:pPr>
    </w:p>
    <w:p w14:paraId="4589DCEB" w14:textId="5F7100B5" w:rsidR="008962C9" w:rsidRPr="008962C9" w:rsidRDefault="002D7AB0" w:rsidP="00985EAF">
      <w:pPr>
        <w:keepNext/>
        <w:keepLines/>
        <w:spacing w:before="40" w:after="0"/>
        <w:ind w:left="284" w:hanging="426"/>
        <w:jc w:val="both"/>
        <w:outlineLvl w:val="1"/>
        <w:rPr>
          <w:rFonts w:ascii="Times New Roman" w:eastAsia="Times New Roman" w:hAnsi="Times New Roman" w:cs="Times New Roman"/>
          <w:bCs/>
          <w:kern w:val="0"/>
          <w:sz w:val="24"/>
          <w:szCs w:val="24"/>
          <w14:ligatures w14:val="none"/>
        </w:rPr>
      </w:pPr>
      <w:r w:rsidRPr="00985EAF">
        <w:rPr>
          <w:rFonts w:ascii="Times New Roman" w:eastAsia="Times New Roman" w:hAnsi="Times New Roman" w:cs="Times New Roman"/>
          <w:bCs/>
          <w:kern w:val="0"/>
          <w:sz w:val="24"/>
          <w:szCs w:val="24"/>
          <w14:ligatures w14:val="none"/>
        </w:rPr>
        <w:t>4</w:t>
      </w:r>
      <w:r w:rsidR="008962C9" w:rsidRPr="008962C9">
        <w:rPr>
          <w:rFonts w:ascii="Times New Roman" w:eastAsia="Times New Roman" w:hAnsi="Times New Roman" w:cs="Times New Roman"/>
          <w:bCs/>
          <w:kern w:val="0"/>
          <w:sz w:val="24"/>
          <w:szCs w:val="24"/>
          <w14:ligatures w14:val="none"/>
        </w:rPr>
        <w:t>.5. Īstenošanas kvalitāte</w:t>
      </w:r>
    </w:p>
    <w:p w14:paraId="54ECF617" w14:textId="77777777" w:rsidR="008962C9" w:rsidRPr="008962C9" w:rsidRDefault="008962C9" w:rsidP="00985EAF">
      <w:pPr>
        <w:ind w:left="142"/>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Ekspertam jāizvērtē:</w:t>
      </w:r>
    </w:p>
    <w:p w14:paraId="21A9BE94" w14:textId="77777777" w:rsidR="008962C9" w:rsidRPr="008962C9" w:rsidRDefault="008962C9" w:rsidP="00985EAF">
      <w:pPr>
        <w:numPr>
          <w:ilvl w:val="0"/>
          <w:numId w:val="37"/>
        </w:numPr>
        <w:ind w:left="142"/>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Pētniecības pieteikuma veikšanai izlietoto finanšu resursu atbilstība pētījumā paveiktajam darba apjomam un sasniegtajiem rezultātiem;</w:t>
      </w:r>
    </w:p>
    <w:p w14:paraId="0800EEAA" w14:textId="272F3930" w:rsidR="008962C9" w:rsidRPr="008962C9" w:rsidRDefault="008962C9" w:rsidP="00985EAF">
      <w:pPr>
        <w:numPr>
          <w:ilvl w:val="0"/>
          <w:numId w:val="37"/>
        </w:numPr>
        <w:ind w:left="142"/>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 xml:space="preserve">pētniecības pieteikuma īstenošanā veikto darbību (aktivitātes, </w:t>
      </w:r>
      <w:r w:rsidRPr="008962C9">
        <w:rPr>
          <w:rFonts w:ascii="Times New Roman" w:eastAsia="Calibri" w:hAnsi="Times New Roman" w:cs="Times New Roman"/>
          <w:i/>
          <w:kern w:val="0"/>
          <w:sz w:val="24"/>
          <w:szCs w:val="24"/>
          <w14:ligatures w14:val="none"/>
        </w:rPr>
        <w:t>work packages</w:t>
      </w:r>
      <w:r w:rsidRPr="008962C9">
        <w:rPr>
          <w:rFonts w:ascii="Times New Roman" w:eastAsia="Calibri" w:hAnsi="Times New Roman" w:cs="Times New Roman"/>
          <w:kern w:val="0"/>
          <w:sz w:val="24"/>
          <w:szCs w:val="24"/>
          <w14:ligatures w14:val="none"/>
        </w:rPr>
        <w:t>), uzdevumu (</w:t>
      </w:r>
      <w:r w:rsidRPr="008962C9">
        <w:rPr>
          <w:rFonts w:ascii="Times New Roman" w:eastAsia="Calibri" w:hAnsi="Times New Roman" w:cs="Times New Roman"/>
          <w:i/>
          <w:kern w:val="0"/>
          <w:sz w:val="24"/>
          <w:szCs w:val="24"/>
          <w14:ligatures w14:val="none"/>
        </w:rPr>
        <w:t>tasks</w:t>
      </w:r>
      <w:r w:rsidRPr="008962C9">
        <w:rPr>
          <w:rFonts w:ascii="Times New Roman" w:eastAsia="Calibri" w:hAnsi="Times New Roman" w:cs="Times New Roman"/>
          <w:kern w:val="0"/>
          <w:sz w:val="24"/>
          <w:szCs w:val="24"/>
          <w14:ligatures w14:val="none"/>
        </w:rPr>
        <w:t>), nodevumu (</w:t>
      </w:r>
      <w:r w:rsidRPr="008962C9">
        <w:rPr>
          <w:rFonts w:ascii="Times New Roman" w:eastAsia="Calibri" w:hAnsi="Times New Roman" w:cs="Times New Roman"/>
          <w:i/>
          <w:kern w:val="0"/>
          <w:sz w:val="24"/>
          <w:szCs w:val="24"/>
          <w14:ligatures w14:val="none"/>
        </w:rPr>
        <w:t>deliverables</w:t>
      </w:r>
      <w:r w:rsidRPr="008962C9">
        <w:rPr>
          <w:rFonts w:ascii="Times New Roman" w:eastAsia="Calibri" w:hAnsi="Times New Roman" w:cs="Times New Roman"/>
          <w:kern w:val="0"/>
          <w:sz w:val="24"/>
          <w:szCs w:val="24"/>
          <w14:ligatures w14:val="none"/>
        </w:rPr>
        <w:t>) un atskaites punktu (</w:t>
      </w:r>
      <w:r w:rsidRPr="008962C9">
        <w:rPr>
          <w:rFonts w:ascii="Times New Roman" w:eastAsia="Calibri" w:hAnsi="Times New Roman" w:cs="Times New Roman"/>
          <w:i/>
          <w:kern w:val="0"/>
          <w:sz w:val="24"/>
          <w:szCs w:val="24"/>
          <w14:ligatures w14:val="none"/>
        </w:rPr>
        <w:t>milestones</w:t>
      </w:r>
      <w:r w:rsidRPr="008962C9">
        <w:rPr>
          <w:rFonts w:ascii="Times New Roman" w:eastAsia="Calibri" w:hAnsi="Times New Roman" w:cs="Times New Roman"/>
          <w:kern w:val="0"/>
          <w:sz w:val="24"/>
          <w:szCs w:val="24"/>
          <w14:ligatures w14:val="none"/>
        </w:rPr>
        <w:t xml:space="preserve">) atbilstība pētniecības pieteikuma “Zinātniskais apraksts/Research </w:t>
      </w:r>
      <w:r w:rsidR="00996390">
        <w:rPr>
          <w:rFonts w:ascii="Times New Roman" w:eastAsia="Calibri" w:hAnsi="Times New Roman" w:cs="Times New Roman"/>
          <w:kern w:val="0"/>
          <w:sz w:val="24"/>
          <w:szCs w:val="24"/>
          <w14:ligatures w14:val="none"/>
        </w:rPr>
        <w:t xml:space="preserve">project </w:t>
      </w:r>
      <w:r w:rsidRPr="008962C9">
        <w:rPr>
          <w:rFonts w:ascii="Times New Roman" w:eastAsia="Calibri" w:hAnsi="Times New Roman" w:cs="Times New Roman"/>
          <w:kern w:val="0"/>
          <w:sz w:val="24"/>
          <w:szCs w:val="24"/>
          <w14:ligatures w14:val="none"/>
        </w:rPr>
        <w:t>proposal” plānotajam. Eksperts tostarp vērtē, vai pētniecības pieteikuma īstenošanas periodā iespējams sasniegt vēl plānotos pētniecības rezultātus;</w:t>
      </w:r>
    </w:p>
    <w:p w14:paraId="26D09A65" w14:textId="77777777" w:rsidR="008962C9" w:rsidRPr="008962C9" w:rsidRDefault="008962C9" w:rsidP="00985EAF">
      <w:pPr>
        <w:numPr>
          <w:ilvl w:val="0"/>
          <w:numId w:val="37"/>
        </w:numPr>
        <w:ind w:left="142"/>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Resursu un rezultātu vadības sistēmas atbilstība pētniecības pieteikuma mērķim (-iem), tostarp kvalitātes un risku pārvaldība;</w:t>
      </w:r>
    </w:p>
    <w:p w14:paraId="2BBFD5BB" w14:textId="77777777" w:rsidR="008962C9" w:rsidRPr="008962C9" w:rsidRDefault="008962C9" w:rsidP="00985EAF">
      <w:pPr>
        <w:numPr>
          <w:ilvl w:val="0"/>
          <w:numId w:val="37"/>
        </w:numPr>
        <w:ind w:left="142"/>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Pēcdoktoranta īstenotās mobilitātes un mācību atbilstība izvirzītajiem mērķiem un pētījuma tēmai;</w:t>
      </w:r>
    </w:p>
    <w:p w14:paraId="797733E2" w14:textId="77777777" w:rsidR="008962C9" w:rsidRPr="008962C9" w:rsidRDefault="008962C9" w:rsidP="00985EAF">
      <w:pPr>
        <w:numPr>
          <w:ilvl w:val="0"/>
          <w:numId w:val="37"/>
        </w:numPr>
        <w:ind w:left="142"/>
        <w:contextualSpacing/>
        <w:jc w:val="both"/>
        <w:rPr>
          <w:rFonts w:ascii="Times New Roman" w:eastAsia="Calibri" w:hAnsi="Times New Roman" w:cs="Times New Roman"/>
          <w:kern w:val="0"/>
          <w:sz w:val="24"/>
          <w:szCs w:val="24"/>
          <w14:ligatures w14:val="none"/>
        </w:rPr>
      </w:pPr>
      <w:r w:rsidRPr="008962C9">
        <w:rPr>
          <w:rFonts w:ascii="Times New Roman" w:eastAsia="Calibri" w:hAnsi="Times New Roman" w:cs="Times New Roman"/>
          <w:kern w:val="0"/>
          <w:sz w:val="24"/>
          <w:szCs w:val="24"/>
          <w14:ligatures w14:val="none"/>
        </w:rPr>
        <w:t>Sadarbības kvalitāte – partneru funkciju un atbildības sadalījums, ieguldījums pētniecības pieteikuma mērķu sasniegšanā (ja attiecināms).</w:t>
      </w:r>
    </w:p>
    <w:p w14:paraId="6D0E53D8" w14:textId="77777777" w:rsidR="008962C9" w:rsidRPr="008962C9" w:rsidRDefault="008962C9" w:rsidP="008962C9">
      <w:pPr>
        <w:ind w:left="1004"/>
        <w:contextualSpacing/>
        <w:jc w:val="both"/>
        <w:rPr>
          <w:rFonts w:ascii="Times New Roman" w:eastAsia="Calibri" w:hAnsi="Times New Roman" w:cs="Times New Roman"/>
          <w:kern w:val="0"/>
          <w:sz w:val="24"/>
          <w:szCs w:val="24"/>
          <w14:ligatures w14:val="none"/>
        </w:rPr>
      </w:pPr>
    </w:p>
    <w:p w14:paraId="204523CB" w14:textId="186C27BE" w:rsidR="000E2444" w:rsidRPr="002D7AB0" w:rsidRDefault="000E2444" w:rsidP="00D84B9D">
      <w:pPr>
        <w:jc w:val="both"/>
        <w:rPr>
          <w:rFonts w:ascii="Times New Roman" w:hAnsi="Times New Roman" w:cs="Times New Roman"/>
          <w:sz w:val="24"/>
          <w:szCs w:val="24"/>
        </w:rPr>
      </w:pPr>
    </w:p>
    <w:p w14:paraId="7D31D5AF" w14:textId="3733BAAD" w:rsidR="002B0B12" w:rsidRDefault="002B0B12">
      <w:pPr>
        <w:rPr>
          <w:rFonts w:ascii="Times New Roman" w:hAnsi="Times New Roman" w:cs="Times New Roman"/>
          <w:b/>
          <w:sz w:val="24"/>
          <w:szCs w:val="24"/>
        </w:rPr>
      </w:pPr>
      <w:r>
        <w:rPr>
          <w:rFonts w:ascii="Times New Roman" w:hAnsi="Times New Roman" w:cs="Times New Roman"/>
          <w:b/>
          <w:sz w:val="24"/>
          <w:szCs w:val="24"/>
        </w:rPr>
        <w:br w:type="page"/>
      </w:r>
    </w:p>
    <w:p w14:paraId="06065B55" w14:textId="77777777" w:rsidR="002B0B12" w:rsidRPr="002B0B12" w:rsidRDefault="002B0B12" w:rsidP="002B0B12">
      <w:pPr>
        <w:pStyle w:val="Heading1"/>
        <w:pageBreakBefore/>
        <w:jc w:val="both"/>
        <w:rPr>
          <w:rFonts w:ascii="Times New Roman" w:hAnsi="Times New Roman" w:cs="Times New Roman"/>
          <w:color w:val="auto"/>
          <w:sz w:val="24"/>
          <w:szCs w:val="24"/>
        </w:rPr>
      </w:pPr>
      <w:r w:rsidRPr="002B0B12">
        <w:rPr>
          <w:rFonts w:ascii="Times New Roman" w:hAnsi="Times New Roman" w:cs="Times New Roman"/>
          <w:color w:val="auto"/>
          <w:sz w:val="24"/>
          <w:szCs w:val="24"/>
        </w:rPr>
        <w:lastRenderedPageBreak/>
        <w:t>Katra eksperta sākotnējā individuāla vērtējuma forma</w:t>
      </w:r>
    </w:p>
    <w:p w14:paraId="09728B43" w14:textId="77777777" w:rsidR="002B0B12" w:rsidRPr="005877E3" w:rsidRDefault="002B0B12" w:rsidP="002B0B12">
      <w:pPr>
        <w:jc w:val="both"/>
        <w:rPr>
          <w:rFonts w:ascii="Times New Roman" w:hAnsi="Times New Roman" w:cs="Times New Roman"/>
          <w:b/>
        </w:rPr>
      </w:pPr>
      <w:r>
        <w:rPr>
          <w:rFonts w:ascii="Times New Roman" w:hAnsi="Times New Roman" w:cs="Times New Roman"/>
          <w:b/>
        </w:rPr>
        <w:t>Pētniecības</w:t>
      </w:r>
      <w:r w:rsidRPr="005877E3">
        <w:rPr>
          <w:rFonts w:ascii="Times New Roman" w:hAnsi="Times New Roman" w:cs="Times New Roman"/>
          <w:b/>
        </w:rPr>
        <w:t xml:space="preserve"> pieteikumu </w:t>
      </w:r>
      <w:r w:rsidRPr="006D1E61">
        <w:rPr>
          <w:rFonts w:ascii="Times New Roman" w:hAnsi="Times New Roman" w:cs="Times New Roman"/>
          <w:b/>
        </w:rPr>
        <w:t>vidusposma rezultātu zinātniskās kvalitātes vērtējuma</w:t>
      </w:r>
      <w:r w:rsidRPr="005877E3">
        <w:rPr>
          <w:rFonts w:ascii="Times New Roman" w:hAnsi="Times New Roman" w:cs="Times New Roman"/>
          <w:b/>
        </w:rPr>
        <w:br/>
        <w:t>eksperta sākotnējais individuālais vērtējums</w:t>
      </w:r>
    </w:p>
    <w:tbl>
      <w:tblPr>
        <w:tblStyle w:val="TableGrid"/>
        <w:tblW w:w="0" w:type="auto"/>
        <w:tblLook w:val="04A0" w:firstRow="1" w:lastRow="0" w:firstColumn="1" w:lastColumn="0" w:noHBand="0" w:noVBand="1"/>
      </w:tblPr>
      <w:tblGrid>
        <w:gridCol w:w="1555"/>
        <w:gridCol w:w="7795"/>
      </w:tblGrid>
      <w:tr w:rsidR="002B0B12" w:rsidRPr="005877E3" w14:paraId="6D04DC45" w14:textId="77777777" w:rsidTr="00797931">
        <w:tc>
          <w:tcPr>
            <w:tcW w:w="1555" w:type="dxa"/>
          </w:tcPr>
          <w:p w14:paraId="0A5544D6" w14:textId="77777777" w:rsidR="002B0B12" w:rsidRPr="005877E3" w:rsidRDefault="002B0B12" w:rsidP="00797931">
            <w:pPr>
              <w:jc w:val="both"/>
              <w:rPr>
                <w:rFonts w:ascii="Times New Roman" w:hAnsi="Times New Roman" w:cs="Times New Roman"/>
              </w:rPr>
            </w:pPr>
            <w:r>
              <w:rPr>
                <w:rFonts w:ascii="Times New Roman" w:hAnsi="Times New Roman" w:cs="Times New Roman"/>
              </w:rPr>
              <w:t xml:space="preserve">Pētniecības </w:t>
            </w:r>
            <w:r w:rsidRPr="005877E3">
              <w:rPr>
                <w:rFonts w:ascii="Times New Roman" w:hAnsi="Times New Roman" w:cs="Times New Roman"/>
              </w:rPr>
              <w:t>pieteikuma Nr.</w:t>
            </w:r>
          </w:p>
        </w:tc>
        <w:tc>
          <w:tcPr>
            <w:tcW w:w="7795" w:type="dxa"/>
          </w:tcPr>
          <w:p w14:paraId="043E81C4" w14:textId="77777777" w:rsidR="002B0B12" w:rsidRPr="005877E3" w:rsidRDefault="002B0B12" w:rsidP="00797931">
            <w:pPr>
              <w:jc w:val="both"/>
              <w:rPr>
                <w:rFonts w:ascii="Times New Roman" w:hAnsi="Times New Roman" w:cs="Times New Roman"/>
                <w:i/>
              </w:rPr>
            </w:pPr>
          </w:p>
        </w:tc>
      </w:tr>
      <w:tr w:rsidR="002B0B12" w:rsidRPr="005877E3" w14:paraId="30BD956E" w14:textId="77777777" w:rsidTr="00797931">
        <w:tc>
          <w:tcPr>
            <w:tcW w:w="1555" w:type="dxa"/>
          </w:tcPr>
          <w:p w14:paraId="6E833960" w14:textId="77777777" w:rsidR="002B0B12" w:rsidRPr="005877E3" w:rsidRDefault="002B0B12" w:rsidP="00797931">
            <w:pPr>
              <w:jc w:val="both"/>
              <w:rPr>
                <w:rFonts w:ascii="Times New Roman" w:hAnsi="Times New Roman" w:cs="Times New Roman"/>
              </w:rPr>
            </w:pPr>
            <w:r>
              <w:rPr>
                <w:rFonts w:ascii="Times New Roman" w:hAnsi="Times New Roman" w:cs="Times New Roman"/>
              </w:rPr>
              <w:t xml:space="preserve">Pētniecības </w:t>
            </w:r>
            <w:r w:rsidRPr="005877E3">
              <w:rPr>
                <w:rFonts w:ascii="Times New Roman" w:hAnsi="Times New Roman" w:cs="Times New Roman"/>
              </w:rPr>
              <w:t>pieteikuma nosaukums</w:t>
            </w:r>
          </w:p>
        </w:tc>
        <w:tc>
          <w:tcPr>
            <w:tcW w:w="7795" w:type="dxa"/>
          </w:tcPr>
          <w:p w14:paraId="3B3D10E3" w14:textId="77777777" w:rsidR="002B0B12" w:rsidRPr="005877E3" w:rsidRDefault="002B0B12" w:rsidP="00797931">
            <w:pPr>
              <w:jc w:val="both"/>
              <w:rPr>
                <w:rFonts w:ascii="Times New Roman" w:hAnsi="Times New Roman" w:cs="Times New Roman"/>
              </w:rPr>
            </w:pPr>
          </w:p>
        </w:tc>
      </w:tr>
    </w:tbl>
    <w:p w14:paraId="741A62F1" w14:textId="77777777" w:rsidR="002B0B12" w:rsidRPr="005877E3" w:rsidRDefault="002B0B12" w:rsidP="002B0B12">
      <w:pPr>
        <w:spacing w:after="0"/>
        <w:jc w:val="both"/>
        <w:rPr>
          <w:rFonts w:ascii="Times New Roman" w:hAnsi="Times New Roman" w:cs="Times New Roman"/>
        </w:rPr>
      </w:pPr>
    </w:p>
    <w:tbl>
      <w:tblPr>
        <w:tblStyle w:val="TableGrid"/>
        <w:tblW w:w="9351" w:type="dxa"/>
        <w:tblLook w:val="04A0" w:firstRow="1" w:lastRow="0" w:firstColumn="1" w:lastColumn="0" w:noHBand="0" w:noVBand="1"/>
      </w:tblPr>
      <w:tblGrid>
        <w:gridCol w:w="1903"/>
        <w:gridCol w:w="5889"/>
        <w:gridCol w:w="1559"/>
      </w:tblGrid>
      <w:tr w:rsidR="002B0B12" w:rsidRPr="005877E3" w14:paraId="1BAC11B7" w14:textId="77777777" w:rsidTr="002B0B12">
        <w:tc>
          <w:tcPr>
            <w:tcW w:w="1903" w:type="dxa"/>
          </w:tcPr>
          <w:p w14:paraId="359620B4" w14:textId="77777777" w:rsidR="002B0B12" w:rsidRPr="005877E3" w:rsidRDefault="002B0B12" w:rsidP="00797931">
            <w:pPr>
              <w:jc w:val="both"/>
              <w:rPr>
                <w:rFonts w:ascii="Times New Roman" w:hAnsi="Times New Roman" w:cs="Times New Roman"/>
              </w:rPr>
            </w:pPr>
            <w:r w:rsidRPr="005877E3">
              <w:rPr>
                <w:rFonts w:ascii="Times New Roman" w:hAnsi="Times New Roman" w:cs="Times New Roman"/>
              </w:rPr>
              <w:t>Kritērijs</w:t>
            </w:r>
          </w:p>
        </w:tc>
        <w:tc>
          <w:tcPr>
            <w:tcW w:w="5889" w:type="dxa"/>
          </w:tcPr>
          <w:p w14:paraId="5B717181" w14:textId="77777777" w:rsidR="002B0B12" w:rsidRPr="005877E3" w:rsidRDefault="002B0B12" w:rsidP="00797931">
            <w:pPr>
              <w:jc w:val="both"/>
              <w:rPr>
                <w:rFonts w:ascii="Times New Roman" w:hAnsi="Times New Roman" w:cs="Times New Roman"/>
              </w:rPr>
            </w:pPr>
            <w:r w:rsidRPr="005877E3">
              <w:rPr>
                <w:rFonts w:ascii="Times New Roman" w:hAnsi="Times New Roman" w:cs="Times New Roman"/>
              </w:rPr>
              <w:t>Argumentācija, komentāri</w:t>
            </w:r>
          </w:p>
        </w:tc>
        <w:tc>
          <w:tcPr>
            <w:tcW w:w="1559" w:type="dxa"/>
          </w:tcPr>
          <w:p w14:paraId="2A1C5315" w14:textId="77777777" w:rsidR="002B0B12" w:rsidRPr="005877E3" w:rsidRDefault="002B0B12" w:rsidP="00797931">
            <w:pPr>
              <w:jc w:val="both"/>
              <w:rPr>
                <w:rFonts w:ascii="Times New Roman" w:hAnsi="Times New Roman" w:cs="Times New Roman"/>
              </w:rPr>
            </w:pPr>
            <w:r>
              <w:rPr>
                <w:rFonts w:ascii="Times New Roman" w:hAnsi="Times New Roman" w:cs="Times New Roman"/>
              </w:rPr>
              <w:t>Vērtējums</w:t>
            </w:r>
            <w:r w:rsidRPr="005877E3">
              <w:rPr>
                <w:rFonts w:ascii="Times New Roman" w:hAnsi="Times New Roman" w:cs="Times New Roman"/>
              </w:rPr>
              <w:t xml:space="preserve"> </w:t>
            </w:r>
          </w:p>
        </w:tc>
      </w:tr>
      <w:tr w:rsidR="002B0B12" w:rsidRPr="00822DE8" w14:paraId="20F78FE6" w14:textId="77777777" w:rsidTr="002B0B12">
        <w:tc>
          <w:tcPr>
            <w:tcW w:w="1903" w:type="dxa"/>
          </w:tcPr>
          <w:p w14:paraId="33305F17" w14:textId="77777777" w:rsidR="002B0B12" w:rsidRPr="005877E3" w:rsidRDefault="002B0B12" w:rsidP="00797931">
            <w:pPr>
              <w:jc w:val="both"/>
              <w:rPr>
                <w:rFonts w:ascii="Times New Roman" w:hAnsi="Times New Roman" w:cs="Times New Roman"/>
                <w:b/>
              </w:rPr>
            </w:pPr>
            <w:r w:rsidRPr="005877E3">
              <w:rPr>
                <w:rFonts w:ascii="Times New Roman" w:hAnsi="Times New Roman" w:cs="Times New Roman"/>
                <w:b/>
              </w:rPr>
              <w:t xml:space="preserve">Zinātniskā </w:t>
            </w:r>
            <w:r>
              <w:rPr>
                <w:rFonts w:ascii="Times New Roman" w:hAnsi="Times New Roman" w:cs="Times New Roman"/>
                <w:b/>
              </w:rPr>
              <w:t>kvalitāte</w:t>
            </w:r>
          </w:p>
        </w:tc>
        <w:tc>
          <w:tcPr>
            <w:tcW w:w="5889" w:type="dxa"/>
          </w:tcPr>
          <w:p w14:paraId="61BCC561" w14:textId="77777777" w:rsidR="002B0B12" w:rsidRDefault="002B0B12" w:rsidP="00797931">
            <w:pPr>
              <w:jc w:val="both"/>
              <w:rPr>
                <w:rFonts w:ascii="Times New Roman" w:hAnsi="Times New Roman" w:cs="Times New Roman"/>
              </w:rPr>
            </w:pPr>
            <w:r>
              <w:rPr>
                <w:rFonts w:ascii="Times New Roman" w:hAnsi="Times New Roman" w:cs="Times New Roman"/>
              </w:rPr>
              <w:t>Stiprās puses:</w:t>
            </w:r>
          </w:p>
          <w:p w14:paraId="21ECF3C8" w14:textId="77777777" w:rsidR="002B0B12" w:rsidRDefault="002B0B12" w:rsidP="00797931">
            <w:pPr>
              <w:jc w:val="both"/>
              <w:rPr>
                <w:rFonts w:ascii="Times New Roman" w:hAnsi="Times New Roman" w:cs="Times New Roman"/>
              </w:rPr>
            </w:pPr>
          </w:p>
          <w:p w14:paraId="1A50F575" w14:textId="77777777" w:rsidR="002B0B12" w:rsidRDefault="002B0B12" w:rsidP="00797931">
            <w:pPr>
              <w:jc w:val="both"/>
              <w:rPr>
                <w:rFonts w:ascii="Times New Roman" w:hAnsi="Times New Roman" w:cs="Times New Roman"/>
              </w:rPr>
            </w:pPr>
            <w:r>
              <w:rPr>
                <w:rFonts w:ascii="Times New Roman" w:hAnsi="Times New Roman" w:cs="Times New Roman"/>
              </w:rPr>
              <w:t>Vājās puses:</w:t>
            </w:r>
          </w:p>
          <w:p w14:paraId="2EE54D04" w14:textId="77777777" w:rsidR="002B0B12" w:rsidRDefault="002B0B12" w:rsidP="00797931">
            <w:pPr>
              <w:jc w:val="both"/>
              <w:rPr>
                <w:rFonts w:ascii="Times New Roman" w:hAnsi="Times New Roman" w:cs="Times New Roman"/>
              </w:rPr>
            </w:pPr>
          </w:p>
          <w:p w14:paraId="2DC85F2E" w14:textId="77777777" w:rsidR="002B0B12" w:rsidRPr="005877E3" w:rsidRDefault="002B0B12" w:rsidP="00797931">
            <w:pPr>
              <w:jc w:val="both"/>
              <w:rPr>
                <w:rFonts w:ascii="Times New Roman" w:hAnsi="Times New Roman" w:cs="Times New Roman"/>
              </w:rPr>
            </w:pPr>
            <w:r>
              <w:rPr>
                <w:rFonts w:ascii="Times New Roman" w:hAnsi="Times New Roman" w:cs="Times New Roman"/>
              </w:rPr>
              <w:t>Ieteikumi:</w:t>
            </w:r>
            <w:r w:rsidRPr="005877E3">
              <w:rPr>
                <w:rFonts w:ascii="Times New Roman" w:hAnsi="Times New Roman" w:cs="Times New Roman"/>
              </w:rPr>
              <w:br/>
            </w:r>
            <w:r w:rsidRPr="00665C64">
              <w:rPr>
                <w:rFonts w:ascii="Times New Roman" w:hAnsi="Times New Roman" w:cs="Times New Roman"/>
              </w:rPr>
              <w:t xml:space="preserve">Ja kādā no vērtēšanas kritērijiem ir vērtējums </w:t>
            </w:r>
            <w:r>
              <w:rPr>
                <w:rFonts w:ascii="Times New Roman" w:hAnsi="Times New Roman" w:cs="Times New Roman"/>
              </w:rPr>
              <w:t>“</w:t>
            </w:r>
            <w:r w:rsidRPr="00665C64">
              <w:rPr>
                <w:rFonts w:ascii="Times New Roman" w:hAnsi="Times New Roman" w:cs="Times New Roman"/>
              </w:rPr>
              <w:t>Atbilst ar ieteikumiem/Neatbilst</w:t>
            </w:r>
            <w:r>
              <w:rPr>
                <w:rFonts w:ascii="Times New Roman" w:hAnsi="Times New Roman" w:cs="Times New Roman"/>
              </w:rPr>
              <w:t>”</w:t>
            </w:r>
            <w:r w:rsidRPr="00665C64">
              <w:rPr>
                <w:rFonts w:ascii="Times New Roman" w:hAnsi="Times New Roman" w:cs="Times New Roman"/>
              </w:rPr>
              <w:t xml:space="preserve">, eksperts sniedz </w:t>
            </w:r>
            <w:r>
              <w:rPr>
                <w:rFonts w:ascii="Times New Roman" w:hAnsi="Times New Roman" w:cs="Times New Roman"/>
              </w:rPr>
              <w:t xml:space="preserve">konkrētus </w:t>
            </w:r>
            <w:r w:rsidRPr="00665C64">
              <w:rPr>
                <w:rFonts w:ascii="Times New Roman" w:hAnsi="Times New Roman" w:cs="Times New Roman"/>
              </w:rPr>
              <w:t>ieteikumus pētniecības pieteikuma zinātniskās kvalitātes uzlabošanai.</w:t>
            </w:r>
            <w:r>
              <w:rPr>
                <w:rFonts w:ascii="Times New Roman" w:hAnsi="Times New Roman" w:cs="Times New Roman"/>
              </w:rPr>
              <w:br/>
            </w:r>
          </w:p>
        </w:tc>
        <w:tc>
          <w:tcPr>
            <w:tcW w:w="1559" w:type="dxa"/>
          </w:tcPr>
          <w:p w14:paraId="7AF8418C" w14:textId="77777777" w:rsidR="002B0B12" w:rsidRPr="005877E3" w:rsidRDefault="002B0B12" w:rsidP="00797931">
            <w:pPr>
              <w:jc w:val="both"/>
              <w:rPr>
                <w:rFonts w:ascii="Times New Roman" w:hAnsi="Times New Roman" w:cs="Times New Roman"/>
              </w:rPr>
            </w:pPr>
          </w:p>
        </w:tc>
      </w:tr>
      <w:tr w:rsidR="002B0B12" w:rsidRPr="00822DE8" w14:paraId="5A23B022" w14:textId="77777777" w:rsidTr="002B0B12">
        <w:tc>
          <w:tcPr>
            <w:tcW w:w="1903" w:type="dxa"/>
          </w:tcPr>
          <w:p w14:paraId="54581DBB" w14:textId="77777777" w:rsidR="002B0B12" w:rsidRPr="005877E3" w:rsidRDefault="002B0B12" w:rsidP="00797931">
            <w:pPr>
              <w:jc w:val="both"/>
              <w:rPr>
                <w:rFonts w:ascii="Times New Roman" w:hAnsi="Times New Roman" w:cs="Times New Roman"/>
                <w:b/>
              </w:rPr>
            </w:pPr>
            <w:r>
              <w:rPr>
                <w:rFonts w:ascii="Times New Roman" w:hAnsi="Times New Roman" w:cs="Times New Roman"/>
                <w:b/>
              </w:rPr>
              <w:t>Sociālekonomiskā ietekme</w:t>
            </w:r>
          </w:p>
        </w:tc>
        <w:tc>
          <w:tcPr>
            <w:tcW w:w="5889" w:type="dxa"/>
          </w:tcPr>
          <w:p w14:paraId="53796B18" w14:textId="77777777" w:rsidR="002B0B12" w:rsidRDefault="002B0B12" w:rsidP="00797931">
            <w:pPr>
              <w:jc w:val="both"/>
              <w:rPr>
                <w:rFonts w:ascii="Times New Roman" w:hAnsi="Times New Roman" w:cs="Times New Roman"/>
              </w:rPr>
            </w:pPr>
            <w:r>
              <w:rPr>
                <w:rFonts w:ascii="Times New Roman" w:hAnsi="Times New Roman" w:cs="Times New Roman"/>
              </w:rPr>
              <w:t>Stiprās puses:</w:t>
            </w:r>
          </w:p>
          <w:p w14:paraId="740E6197" w14:textId="77777777" w:rsidR="002B0B12" w:rsidRDefault="002B0B12" w:rsidP="00797931">
            <w:pPr>
              <w:jc w:val="both"/>
              <w:rPr>
                <w:rFonts w:ascii="Times New Roman" w:hAnsi="Times New Roman" w:cs="Times New Roman"/>
              </w:rPr>
            </w:pPr>
          </w:p>
          <w:p w14:paraId="66C2D0F1" w14:textId="77777777" w:rsidR="002B0B12" w:rsidRDefault="002B0B12" w:rsidP="00797931">
            <w:pPr>
              <w:jc w:val="both"/>
              <w:rPr>
                <w:rFonts w:ascii="Times New Roman" w:hAnsi="Times New Roman" w:cs="Times New Roman"/>
              </w:rPr>
            </w:pPr>
            <w:r>
              <w:rPr>
                <w:rFonts w:ascii="Times New Roman" w:hAnsi="Times New Roman" w:cs="Times New Roman"/>
              </w:rPr>
              <w:t>Vājās puses:</w:t>
            </w:r>
          </w:p>
          <w:p w14:paraId="5AD6ADC0" w14:textId="77777777" w:rsidR="002B0B12" w:rsidRDefault="002B0B12" w:rsidP="00797931">
            <w:pPr>
              <w:jc w:val="both"/>
              <w:rPr>
                <w:rFonts w:ascii="Times New Roman" w:hAnsi="Times New Roman" w:cs="Times New Roman"/>
              </w:rPr>
            </w:pPr>
          </w:p>
          <w:p w14:paraId="78D496C8" w14:textId="77777777" w:rsidR="002B0B12" w:rsidRDefault="002B0B12" w:rsidP="00797931">
            <w:pPr>
              <w:jc w:val="both"/>
              <w:rPr>
                <w:rFonts w:ascii="Times New Roman" w:hAnsi="Times New Roman" w:cs="Times New Roman"/>
              </w:rPr>
            </w:pPr>
            <w:r>
              <w:rPr>
                <w:rFonts w:ascii="Times New Roman" w:hAnsi="Times New Roman" w:cs="Times New Roman"/>
              </w:rPr>
              <w:t>Ieteikumi:</w:t>
            </w:r>
          </w:p>
          <w:p w14:paraId="0EA9766A" w14:textId="77777777" w:rsidR="002B0B12" w:rsidRPr="005877E3" w:rsidRDefault="002B0B12" w:rsidP="00797931">
            <w:pPr>
              <w:jc w:val="both"/>
              <w:rPr>
                <w:rFonts w:ascii="Times New Roman" w:hAnsi="Times New Roman" w:cs="Times New Roman"/>
              </w:rPr>
            </w:pPr>
            <w:r w:rsidRPr="00665C64">
              <w:rPr>
                <w:rFonts w:ascii="Times New Roman" w:hAnsi="Times New Roman" w:cs="Times New Roman"/>
              </w:rPr>
              <w:t xml:space="preserve">Ja kādā no vērtēšanas kritērijiem ir vērtējums </w:t>
            </w:r>
            <w:r>
              <w:rPr>
                <w:rFonts w:ascii="Times New Roman" w:hAnsi="Times New Roman" w:cs="Times New Roman"/>
              </w:rPr>
              <w:t>“</w:t>
            </w:r>
            <w:r w:rsidRPr="00665C64">
              <w:rPr>
                <w:rFonts w:ascii="Times New Roman" w:hAnsi="Times New Roman" w:cs="Times New Roman"/>
              </w:rPr>
              <w:t>Atbilst ar ieteikumiem/Neatbilst</w:t>
            </w:r>
            <w:r>
              <w:rPr>
                <w:rFonts w:ascii="Times New Roman" w:hAnsi="Times New Roman" w:cs="Times New Roman"/>
              </w:rPr>
              <w:t>”</w:t>
            </w:r>
            <w:r w:rsidRPr="00665C64">
              <w:rPr>
                <w:rFonts w:ascii="Times New Roman" w:hAnsi="Times New Roman" w:cs="Times New Roman"/>
              </w:rPr>
              <w:t xml:space="preserve">, eksperts sniedz ieteikumus pētniecības pieteikuma </w:t>
            </w:r>
            <w:r>
              <w:rPr>
                <w:rFonts w:ascii="Times New Roman" w:hAnsi="Times New Roman" w:cs="Times New Roman"/>
              </w:rPr>
              <w:t>sociālekonomiskās ietekmes</w:t>
            </w:r>
            <w:r w:rsidRPr="00665C64">
              <w:rPr>
                <w:rFonts w:ascii="Times New Roman" w:hAnsi="Times New Roman" w:cs="Times New Roman"/>
              </w:rPr>
              <w:t xml:space="preserve"> uzlabošanai.</w:t>
            </w:r>
          </w:p>
        </w:tc>
        <w:tc>
          <w:tcPr>
            <w:tcW w:w="1559" w:type="dxa"/>
          </w:tcPr>
          <w:p w14:paraId="16306873" w14:textId="77777777" w:rsidR="002B0B12" w:rsidRPr="005877E3" w:rsidRDefault="002B0B12" w:rsidP="00797931">
            <w:pPr>
              <w:jc w:val="both"/>
              <w:rPr>
                <w:rFonts w:ascii="Times New Roman" w:hAnsi="Times New Roman" w:cs="Times New Roman"/>
              </w:rPr>
            </w:pPr>
          </w:p>
        </w:tc>
      </w:tr>
      <w:tr w:rsidR="002B0B12" w:rsidRPr="00822DE8" w14:paraId="61578640" w14:textId="77777777" w:rsidTr="002B0B12">
        <w:tc>
          <w:tcPr>
            <w:tcW w:w="1903" w:type="dxa"/>
          </w:tcPr>
          <w:p w14:paraId="2628F693" w14:textId="77777777" w:rsidR="002B0B12" w:rsidRPr="005877E3" w:rsidRDefault="002B0B12" w:rsidP="00797931">
            <w:pPr>
              <w:jc w:val="both"/>
              <w:rPr>
                <w:rFonts w:ascii="Times New Roman" w:hAnsi="Times New Roman" w:cs="Times New Roman"/>
                <w:b/>
              </w:rPr>
            </w:pPr>
            <w:r>
              <w:rPr>
                <w:rFonts w:ascii="Times New Roman" w:hAnsi="Times New Roman" w:cs="Times New Roman"/>
                <w:b/>
              </w:rPr>
              <w:t>Īstenošanas kvalitāte</w:t>
            </w:r>
          </w:p>
        </w:tc>
        <w:tc>
          <w:tcPr>
            <w:tcW w:w="5889" w:type="dxa"/>
          </w:tcPr>
          <w:p w14:paraId="0C88204D" w14:textId="77777777" w:rsidR="002B0B12" w:rsidRDefault="002B0B12" w:rsidP="00797931">
            <w:pPr>
              <w:jc w:val="both"/>
              <w:rPr>
                <w:rFonts w:ascii="Times New Roman" w:hAnsi="Times New Roman" w:cs="Times New Roman"/>
              </w:rPr>
            </w:pPr>
            <w:r>
              <w:rPr>
                <w:rFonts w:ascii="Times New Roman" w:hAnsi="Times New Roman" w:cs="Times New Roman"/>
              </w:rPr>
              <w:t>Stiprās puses:</w:t>
            </w:r>
          </w:p>
          <w:p w14:paraId="5D4BD49B" w14:textId="77777777" w:rsidR="002B0B12" w:rsidRDefault="002B0B12" w:rsidP="00797931">
            <w:pPr>
              <w:jc w:val="both"/>
              <w:rPr>
                <w:rFonts w:ascii="Times New Roman" w:hAnsi="Times New Roman" w:cs="Times New Roman"/>
              </w:rPr>
            </w:pPr>
          </w:p>
          <w:p w14:paraId="412825B6" w14:textId="77777777" w:rsidR="002B0B12" w:rsidRDefault="002B0B12" w:rsidP="00797931">
            <w:pPr>
              <w:jc w:val="both"/>
              <w:rPr>
                <w:rFonts w:ascii="Times New Roman" w:hAnsi="Times New Roman" w:cs="Times New Roman"/>
              </w:rPr>
            </w:pPr>
            <w:r>
              <w:rPr>
                <w:rFonts w:ascii="Times New Roman" w:hAnsi="Times New Roman" w:cs="Times New Roman"/>
              </w:rPr>
              <w:t>Vājās puses:</w:t>
            </w:r>
          </w:p>
          <w:p w14:paraId="3C3B8412" w14:textId="77777777" w:rsidR="002B0B12" w:rsidRDefault="002B0B12" w:rsidP="00797931">
            <w:pPr>
              <w:jc w:val="both"/>
              <w:rPr>
                <w:rFonts w:ascii="Times New Roman" w:hAnsi="Times New Roman" w:cs="Times New Roman"/>
              </w:rPr>
            </w:pPr>
          </w:p>
          <w:p w14:paraId="52466EEB" w14:textId="77777777" w:rsidR="002B0B12" w:rsidRDefault="002B0B12" w:rsidP="00797931">
            <w:pPr>
              <w:jc w:val="both"/>
              <w:rPr>
                <w:rFonts w:ascii="Times New Roman" w:hAnsi="Times New Roman" w:cs="Times New Roman"/>
              </w:rPr>
            </w:pPr>
            <w:r>
              <w:rPr>
                <w:rFonts w:ascii="Times New Roman" w:hAnsi="Times New Roman" w:cs="Times New Roman"/>
              </w:rPr>
              <w:t>Ieteikumi:</w:t>
            </w:r>
          </w:p>
          <w:p w14:paraId="731A190A" w14:textId="77777777" w:rsidR="002B0B12" w:rsidRPr="005877E3" w:rsidRDefault="002B0B12" w:rsidP="00797931">
            <w:pPr>
              <w:jc w:val="both"/>
              <w:rPr>
                <w:rFonts w:ascii="Times New Roman" w:hAnsi="Times New Roman" w:cs="Times New Roman"/>
              </w:rPr>
            </w:pPr>
            <w:r w:rsidRPr="00665C64">
              <w:rPr>
                <w:rFonts w:ascii="Times New Roman" w:hAnsi="Times New Roman" w:cs="Times New Roman"/>
              </w:rPr>
              <w:t xml:space="preserve">Ja kādā no vērtēšanas kritērijiem ir vērtējums </w:t>
            </w:r>
            <w:r>
              <w:rPr>
                <w:rFonts w:ascii="Times New Roman" w:hAnsi="Times New Roman" w:cs="Times New Roman"/>
              </w:rPr>
              <w:t>“</w:t>
            </w:r>
            <w:r w:rsidRPr="00665C64">
              <w:rPr>
                <w:rFonts w:ascii="Times New Roman" w:hAnsi="Times New Roman" w:cs="Times New Roman"/>
              </w:rPr>
              <w:t>Atbilst ar ieteikumiem/Neatbilst</w:t>
            </w:r>
            <w:r>
              <w:rPr>
                <w:rFonts w:ascii="Times New Roman" w:hAnsi="Times New Roman" w:cs="Times New Roman"/>
              </w:rPr>
              <w:t>”</w:t>
            </w:r>
            <w:r w:rsidRPr="00665C64">
              <w:rPr>
                <w:rFonts w:ascii="Times New Roman" w:hAnsi="Times New Roman" w:cs="Times New Roman"/>
              </w:rPr>
              <w:t>, eksperts sniedz ieteikumus pētniecības pieteikuma īstenošanas procesa uzlabošanai.</w:t>
            </w:r>
          </w:p>
        </w:tc>
        <w:tc>
          <w:tcPr>
            <w:tcW w:w="1559" w:type="dxa"/>
          </w:tcPr>
          <w:p w14:paraId="4B3F9582" w14:textId="77777777" w:rsidR="002B0B12" w:rsidRPr="005877E3" w:rsidRDefault="002B0B12" w:rsidP="00797931">
            <w:pPr>
              <w:jc w:val="both"/>
              <w:rPr>
                <w:rFonts w:ascii="Times New Roman" w:hAnsi="Times New Roman" w:cs="Times New Roman"/>
              </w:rPr>
            </w:pPr>
          </w:p>
        </w:tc>
      </w:tr>
    </w:tbl>
    <w:p w14:paraId="43952127" w14:textId="77777777" w:rsidR="002B0B12" w:rsidRPr="005877E3" w:rsidRDefault="002B0B12" w:rsidP="002B0B12">
      <w:pPr>
        <w:ind w:left="567"/>
        <w:jc w:val="both"/>
        <w:rPr>
          <w:rFonts w:ascii="Times New Roman" w:hAnsi="Times New Roman" w:cs="Times New Roman"/>
          <w:b/>
        </w:rPr>
      </w:pPr>
    </w:p>
    <w:p w14:paraId="4B259C6D" w14:textId="77777777" w:rsidR="002B0B12" w:rsidRPr="002B0B12" w:rsidRDefault="002B0B12" w:rsidP="002B0B12">
      <w:pPr>
        <w:pStyle w:val="Heading1"/>
        <w:pageBreakBefore/>
        <w:jc w:val="both"/>
        <w:rPr>
          <w:rFonts w:ascii="Times New Roman" w:hAnsi="Times New Roman" w:cs="Times New Roman"/>
          <w:color w:val="auto"/>
          <w:sz w:val="24"/>
          <w:szCs w:val="24"/>
        </w:rPr>
      </w:pPr>
      <w:r w:rsidRPr="002B0B12">
        <w:rPr>
          <w:rFonts w:ascii="Times New Roman" w:hAnsi="Times New Roman" w:cs="Times New Roman"/>
          <w:color w:val="auto"/>
          <w:sz w:val="24"/>
          <w:szCs w:val="24"/>
        </w:rPr>
        <w:lastRenderedPageBreak/>
        <w:t>Ekspertu grupas konsolidēta viedokļa forma</w:t>
      </w:r>
    </w:p>
    <w:p w14:paraId="70E6DA8F" w14:textId="77777777" w:rsidR="002B0B12" w:rsidRPr="005877E3" w:rsidRDefault="002B0B12" w:rsidP="002B0B12">
      <w:pPr>
        <w:jc w:val="both"/>
        <w:rPr>
          <w:rFonts w:ascii="Times New Roman" w:hAnsi="Times New Roman" w:cs="Times New Roman"/>
          <w:b/>
        </w:rPr>
      </w:pPr>
      <w:r w:rsidRPr="00366FFA">
        <w:rPr>
          <w:rFonts w:ascii="Times New Roman" w:hAnsi="Times New Roman" w:cs="Times New Roman"/>
          <w:b/>
        </w:rPr>
        <w:t>Pētniecības</w:t>
      </w:r>
      <w:r w:rsidRPr="005877E3">
        <w:rPr>
          <w:rFonts w:ascii="Times New Roman" w:hAnsi="Times New Roman" w:cs="Times New Roman"/>
          <w:b/>
        </w:rPr>
        <w:t xml:space="preserve"> pieteikumu </w:t>
      </w:r>
      <w:r w:rsidRPr="006D1E61">
        <w:rPr>
          <w:rFonts w:ascii="Times New Roman" w:hAnsi="Times New Roman" w:cs="Times New Roman"/>
          <w:b/>
        </w:rPr>
        <w:t>vidusposma rezultātu zinātniskās kvalitātes vērtējuma</w:t>
      </w:r>
      <w:r w:rsidRPr="005877E3">
        <w:rPr>
          <w:rFonts w:ascii="Times New Roman" w:hAnsi="Times New Roman" w:cs="Times New Roman"/>
          <w:b/>
        </w:rPr>
        <w:br/>
        <w:t>ekspertu grupas konsolidētais viedoklis</w:t>
      </w:r>
    </w:p>
    <w:tbl>
      <w:tblPr>
        <w:tblStyle w:val="TableGrid"/>
        <w:tblW w:w="0" w:type="auto"/>
        <w:tblLook w:val="04A0" w:firstRow="1" w:lastRow="0" w:firstColumn="1" w:lastColumn="0" w:noHBand="0" w:noVBand="1"/>
      </w:tblPr>
      <w:tblGrid>
        <w:gridCol w:w="1555"/>
        <w:gridCol w:w="7795"/>
      </w:tblGrid>
      <w:tr w:rsidR="002B0B12" w:rsidRPr="005877E3" w14:paraId="5C58EAD2" w14:textId="77777777" w:rsidTr="00797931">
        <w:tc>
          <w:tcPr>
            <w:tcW w:w="1555" w:type="dxa"/>
          </w:tcPr>
          <w:p w14:paraId="635B846D" w14:textId="77777777" w:rsidR="002B0B12" w:rsidRPr="005877E3" w:rsidRDefault="002B0B12" w:rsidP="00797931">
            <w:pPr>
              <w:jc w:val="both"/>
              <w:rPr>
                <w:rFonts w:ascii="Times New Roman" w:hAnsi="Times New Roman" w:cs="Times New Roman"/>
              </w:rPr>
            </w:pPr>
            <w:r>
              <w:rPr>
                <w:rFonts w:ascii="Times New Roman" w:hAnsi="Times New Roman" w:cs="Times New Roman"/>
              </w:rPr>
              <w:t xml:space="preserve">Pētniecības </w:t>
            </w:r>
            <w:r w:rsidRPr="005877E3">
              <w:rPr>
                <w:rFonts w:ascii="Times New Roman" w:hAnsi="Times New Roman" w:cs="Times New Roman"/>
              </w:rPr>
              <w:t>pieteikuma Nr.</w:t>
            </w:r>
          </w:p>
        </w:tc>
        <w:tc>
          <w:tcPr>
            <w:tcW w:w="7795" w:type="dxa"/>
          </w:tcPr>
          <w:p w14:paraId="48F439C4" w14:textId="77777777" w:rsidR="002B0B12" w:rsidRPr="005877E3" w:rsidRDefault="002B0B12" w:rsidP="00797931">
            <w:pPr>
              <w:jc w:val="both"/>
              <w:rPr>
                <w:rFonts w:ascii="Times New Roman" w:hAnsi="Times New Roman" w:cs="Times New Roman"/>
                <w:i/>
              </w:rPr>
            </w:pPr>
          </w:p>
        </w:tc>
      </w:tr>
      <w:tr w:rsidR="002B0B12" w:rsidRPr="005877E3" w14:paraId="47220119" w14:textId="77777777" w:rsidTr="00797931">
        <w:tc>
          <w:tcPr>
            <w:tcW w:w="1555" w:type="dxa"/>
          </w:tcPr>
          <w:p w14:paraId="5A35533A" w14:textId="77777777" w:rsidR="002B0B12" w:rsidRPr="005877E3" w:rsidRDefault="002B0B12" w:rsidP="00797931">
            <w:pPr>
              <w:jc w:val="both"/>
              <w:rPr>
                <w:rFonts w:ascii="Times New Roman" w:hAnsi="Times New Roman" w:cs="Times New Roman"/>
              </w:rPr>
            </w:pPr>
            <w:r>
              <w:rPr>
                <w:rFonts w:ascii="Times New Roman" w:hAnsi="Times New Roman" w:cs="Times New Roman"/>
              </w:rPr>
              <w:t xml:space="preserve">Pētniecības </w:t>
            </w:r>
            <w:r w:rsidRPr="005877E3">
              <w:rPr>
                <w:rFonts w:ascii="Times New Roman" w:hAnsi="Times New Roman" w:cs="Times New Roman"/>
              </w:rPr>
              <w:t>pieteikuma nosaukums</w:t>
            </w:r>
          </w:p>
        </w:tc>
        <w:tc>
          <w:tcPr>
            <w:tcW w:w="7795" w:type="dxa"/>
          </w:tcPr>
          <w:p w14:paraId="4AC6C936" w14:textId="77777777" w:rsidR="002B0B12" w:rsidRPr="005877E3" w:rsidRDefault="002B0B12" w:rsidP="00797931">
            <w:pPr>
              <w:jc w:val="both"/>
              <w:rPr>
                <w:rFonts w:ascii="Times New Roman" w:hAnsi="Times New Roman" w:cs="Times New Roman"/>
              </w:rPr>
            </w:pPr>
          </w:p>
        </w:tc>
      </w:tr>
    </w:tbl>
    <w:p w14:paraId="7E90E5CF" w14:textId="77777777" w:rsidR="002B0B12" w:rsidRPr="005877E3" w:rsidRDefault="002B0B12" w:rsidP="002B0B12">
      <w:pPr>
        <w:spacing w:after="0"/>
        <w:jc w:val="both"/>
        <w:rPr>
          <w:rFonts w:ascii="Times New Roman" w:hAnsi="Times New Roman" w:cs="Times New Roman"/>
        </w:rPr>
      </w:pPr>
    </w:p>
    <w:tbl>
      <w:tblPr>
        <w:tblStyle w:val="TableGrid"/>
        <w:tblW w:w="9351" w:type="dxa"/>
        <w:tblLook w:val="04A0" w:firstRow="1" w:lastRow="0" w:firstColumn="1" w:lastColumn="0" w:noHBand="0" w:noVBand="1"/>
      </w:tblPr>
      <w:tblGrid>
        <w:gridCol w:w="1903"/>
        <w:gridCol w:w="5889"/>
        <w:gridCol w:w="1559"/>
      </w:tblGrid>
      <w:tr w:rsidR="002B0B12" w:rsidRPr="005877E3" w14:paraId="43E7320E" w14:textId="77777777" w:rsidTr="002B0B12">
        <w:tc>
          <w:tcPr>
            <w:tcW w:w="1903" w:type="dxa"/>
          </w:tcPr>
          <w:p w14:paraId="77F43634" w14:textId="77777777" w:rsidR="002B0B12" w:rsidRPr="005877E3" w:rsidRDefault="002B0B12" w:rsidP="00797931">
            <w:pPr>
              <w:jc w:val="both"/>
              <w:rPr>
                <w:rFonts w:ascii="Times New Roman" w:hAnsi="Times New Roman" w:cs="Times New Roman"/>
              </w:rPr>
            </w:pPr>
            <w:r w:rsidRPr="005877E3">
              <w:rPr>
                <w:rFonts w:ascii="Times New Roman" w:hAnsi="Times New Roman" w:cs="Times New Roman"/>
              </w:rPr>
              <w:t>Kritērijs</w:t>
            </w:r>
          </w:p>
        </w:tc>
        <w:tc>
          <w:tcPr>
            <w:tcW w:w="5889" w:type="dxa"/>
          </w:tcPr>
          <w:p w14:paraId="6ED04F77" w14:textId="77777777" w:rsidR="002B0B12" w:rsidRPr="005877E3" w:rsidRDefault="002B0B12" w:rsidP="00797931">
            <w:pPr>
              <w:jc w:val="both"/>
              <w:rPr>
                <w:rFonts w:ascii="Times New Roman" w:hAnsi="Times New Roman" w:cs="Times New Roman"/>
              </w:rPr>
            </w:pPr>
            <w:r w:rsidRPr="005877E3">
              <w:rPr>
                <w:rFonts w:ascii="Times New Roman" w:hAnsi="Times New Roman" w:cs="Times New Roman"/>
              </w:rPr>
              <w:t>Argumentācija, komentāri</w:t>
            </w:r>
          </w:p>
        </w:tc>
        <w:tc>
          <w:tcPr>
            <w:tcW w:w="1559" w:type="dxa"/>
          </w:tcPr>
          <w:p w14:paraId="48857BB2" w14:textId="77777777" w:rsidR="002B0B12" w:rsidRPr="005877E3" w:rsidRDefault="002B0B12" w:rsidP="00797931">
            <w:pPr>
              <w:jc w:val="both"/>
              <w:rPr>
                <w:rFonts w:ascii="Times New Roman" w:hAnsi="Times New Roman" w:cs="Times New Roman"/>
              </w:rPr>
            </w:pPr>
            <w:r>
              <w:rPr>
                <w:rFonts w:ascii="Times New Roman" w:hAnsi="Times New Roman" w:cs="Times New Roman"/>
              </w:rPr>
              <w:t>Vērtējums</w:t>
            </w:r>
          </w:p>
        </w:tc>
      </w:tr>
      <w:tr w:rsidR="002B0B12" w:rsidRPr="00822DE8" w14:paraId="798E7A85" w14:textId="77777777" w:rsidTr="002B0B12">
        <w:tc>
          <w:tcPr>
            <w:tcW w:w="1903" w:type="dxa"/>
          </w:tcPr>
          <w:p w14:paraId="17782D7D" w14:textId="77777777" w:rsidR="002B0B12" w:rsidRPr="005877E3" w:rsidRDefault="002B0B12" w:rsidP="00797931">
            <w:pPr>
              <w:jc w:val="both"/>
              <w:rPr>
                <w:rFonts w:ascii="Times New Roman" w:hAnsi="Times New Roman" w:cs="Times New Roman"/>
                <w:b/>
              </w:rPr>
            </w:pPr>
            <w:r w:rsidRPr="005877E3">
              <w:rPr>
                <w:rFonts w:ascii="Times New Roman" w:hAnsi="Times New Roman" w:cs="Times New Roman"/>
                <w:b/>
              </w:rPr>
              <w:t xml:space="preserve">Zinātniskā </w:t>
            </w:r>
            <w:r>
              <w:rPr>
                <w:rFonts w:ascii="Times New Roman" w:hAnsi="Times New Roman" w:cs="Times New Roman"/>
                <w:b/>
              </w:rPr>
              <w:t>kvalitāte</w:t>
            </w:r>
          </w:p>
        </w:tc>
        <w:tc>
          <w:tcPr>
            <w:tcW w:w="5889" w:type="dxa"/>
          </w:tcPr>
          <w:p w14:paraId="7875C52F" w14:textId="77777777" w:rsidR="002B0B12" w:rsidRDefault="002B0B12" w:rsidP="00797931">
            <w:pPr>
              <w:jc w:val="both"/>
              <w:rPr>
                <w:rFonts w:ascii="Times New Roman" w:hAnsi="Times New Roman" w:cs="Times New Roman"/>
              </w:rPr>
            </w:pPr>
            <w:r>
              <w:rPr>
                <w:rFonts w:ascii="Times New Roman" w:hAnsi="Times New Roman" w:cs="Times New Roman"/>
              </w:rPr>
              <w:t>Stiprās puses:</w:t>
            </w:r>
          </w:p>
          <w:p w14:paraId="591AA5CB" w14:textId="77777777" w:rsidR="002B0B12" w:rsidRDefault="002B0B12" w:rsidP="00797931">
            <w:pPr>
              <w:jc w:val="both"/>
              <w:rPr>
                <w:rFonts w:ascii="Times New Roman" w:hAnsi="Times New Roman" w:cs="Times New Roman"/>
              </w:rPr>
            </w:pPr>
          </w:p>
          <w:p w14:paraId="6E573130" w14:textId="77777777" w:rsidR="002B0B12" w:rsidRDefault="002B0B12" w:rsidP="00797931">
            <w:pPr>
              <w:jc w:val="both"/>
              <w:rPr>
                <w:rFonts w:ascii="Times New Roman" w:hAnsi="Times New Roman" w:cs="Times New Roman"/>
              </w:rPr>
            </w:pPr>
            <w:r>
              <w:rPr>
                <w:rFonts w:ascii="Times New Roman" w:hAnsi="Times New Roman" w:cs="Times New Roman"/>
              </w:rPr>
              <w:t>Vājās puses:</w:t>
            </w:r>
          </w:p>
          <w:p w14:paraId="2206F37A" w14:textId="77777777" w:rsidR="002B0B12" w:rsidRDefault="002B0B12" w:rsidP="00797931">
            <w:pPr>
              <w:jc w:val="both"/>
              <w:rPr>
                <w:rFonts w:ascii="Times New Roman" w:hAnsi="Times New Roman" w:cs="Times New Roman"/>
              </w:rPr>
            </w:pPr>
          </w:p>
          <w:p w14:paraId="7FB75EAA" w14:textId="77777777" w:rsidR="002B0B12" w:rsidRPr="005877E3" w:rsidRDefault="002B0B12" w:rsidP="00797931">
            <w:pPr>
              <w:jc w:val="both"/>
              <w:rPr>
                <w:rFonts w:ascii="Times New Roman" w:hAnsi="Times New Roman" w:cs="Times New Roman"/>
              </w:rPr>
            </w:pPr>
            <w:r>
              <w:rPr>
                <w:rFonts w:ascii="Times New Roman" w:hAnsi="Times New Roman" w:cs="Times New Roman"/>
              </w:rPr>
              <w:t>Ieteikumi:</w:t>
            </w:r>
            <w:r w:rsidRPr="005877E3">
              <w:rPr>
                <w:rFonts w:ascii="Times New Roman" w:hAnsi="Times New Roman" w:cs="Times New Roman"/>
              </w:rPr>
              <w:br/>
            </w:r>
            <w:r w:rsidRPr="00665C64">
              <w:rPr>
                <w:rFonts w:ascii="Times New Roman" w:hAnsi="Times New Roman" w:cs="Times New Roman"/>
              </w:rPr>
              <w:t xml:space="preserve">Ja kādā no vērtēšanas kritērijiem ir vērtējums </w:t>
            </w:r>
            <w:r>
              <w:rPr>
                <w:rFonts w:ascii="Times New Roman" w:hAnsi="Times New Roman" w:cs="Times New Roman"/>
              </w:rPr>
              <w:t>“</w:t>
            </w:r>
            <w:r w:rsidRPr="00665C64">
              <w:rPr>
                <w:rFonts w:ascii="Times New Roman" w:hAnsi="Times New Roman" w:cs="Times New Roman"/>
              </w:rPr>
              <w:t xml:space="preserve">Atbilst ar </w:t>
            </w:r>
            <w:r>
              <w:rPr>
                <w:rFonts w:ascii="Times New Roman" w:hAnsi="Times New Roman" w:cs="Times New Roman"/>
              </w:rPr>
              <w:t>ieteikumiem</w:t>
            </w:r>
            <w:r w:rsidRPr="00665C64">
              <w:rPr>
                <w:rFonts w:ascii="Times New Roman" w:hAnsi="Times New Roman" w:cs="Times New Roman"/>
              </w:rPr>
              <w:t>/Neatbilst</w:t>
            </w:r>
            <w:r>
              <w:rPr>
                <w:rFonts w:ascii="Times New Roman" w:hAnsi="Times New Roman" w:cs="Times New Roman"/>
              </w:rPr>
              <w:t>”</w:t>
            </w:r>
            <w:r w:rsidRPr="00665C64">
              <w:rPr>
                <w:rFonts w:ascii="Times New Roman" w:hAnsi="Times New Roman" w:cs="Times New Roman"/>
              </w:rPr>
              <w:t>, eksperts sniedz ieteikumus pētniecības pieteikuma zinātniskās kvalitātes uzlabošanai.</w:t>
            </w:r>
            <w:r>
              <w:rPr>
                <w:rFonts w:ascii="Times New Roman" w:hAnsi="Times New Roman" w:cs="Times New Roman"/>
              </w:rPr>
              <w:br/>
            </w:r>
          </w:p>
        </w:tc>
        <w:tc>
          <w:tcPr>
            <w:tcW w:w="1559" w:type="dxa"/>
          </w:tcPr>
          <w:p w14:paraId="38B7ADAC" w14:textId="77777777" w:rsidR="002B0B12" w:rsidRPr="005877E3" w:rsidRDefault="002B0B12" w:rsidP="00797931">
            <w:pPr>
              <w:jc w:val="both"/>
              <w:rPr>
                <w:rFonts w:ascii="Times New Roman" w:hAnsi="Times New Roman" w:cs="Times New Roman"/>
              </w:rPr>
            </w:pPr>
          </w:p>
        </w:tc>
      </w:tr>
      <w:tr w:rsidR="002B0B12" w:rsidRPr="00822DE8" w14:paraId="35328178" w14:textId="77777777" w:rsidTr="002B0B12">
        <w:tc>
          <w:tcPr>
            <w:tcW w:w="1903" w:type="dxa"/>
          </w:tcPr>
          <w:p w14:paraId="69FF34C1" w14:textId="77777777" w:rsidR="002B0B12" w:rsidRPr="005877E3" w:rsidRDefault="002B0B12" w:rsidP="00797931">
            <w:pPr>
              <w:jc w:val="both"/>
              <w:rPr>
                <w:rFonts w:ascii="Times New Roman" w:hAnsi="Times New Roman" w:cs="Times New Roman"/>
                <w:b/>
              </w:rPr>
            </w:pPr>
            <w:r>
              <w:rPr>
                <w:rFonts w:ascii="Times New Roman" w:hAnsi="Times New Roman" w:cs="Times New Roman"/>
                <w:b/>
              </w:rPr>
              <w:t>Sociālekonomiskā ietekme</w:t>
            </w:r>
          </w:p>
        </w:tc>
        <w:tc>
          <w:tcPr>
            <w:tcW w:w="5889" w:type="dxa"/>
          </w:tcPr>
          <w:p w14:paraId="7E97B470" w14:textId="77777777" w:rsidR="002B0B12" w:rsidRDefault="002B0B12" w:rsidP="00797931">
            <w:pPr>
              <w:jc w:val="both"/>
              <w:rPr>
                <w:rFonts w:ascii="Times New Roman" w:hAnsi="Times New Roman" w:cs="Times New Roman"/>
              </w:rPr>
            </w:pPr>
            <w:r>
              <w:rPr>
                <w:rFonts w:ascii="Times New Roman" w:hAnsi="Times New Roman" w:cs="Times New Roman"/>
              </w:rPr>
              <w:t>Stiprās puses:</w:t>
            </w:r>
          </w:p>
          <w:p w14:paraId="1CF23536" w14:textId="77777777" w:rsidR="002B0B12" w:rsidRDefault="002B0B12" w:rsidP="00797931">
            <w:pPr>
              <w:jc w:val="both"/>
              <w:rPr>
                <w:rFonts w:ascii="Times New Roman" w:hAnsi="Times New Roman" w:cs="Times New Roman"/>
              </w:rPr>
            </w:pPr>
          </w:p>
          <w:p w14:paraId="12F00A4C" w14:textId="77777777" w:rsidR="002B0B12" w:rsidRDefault="002B0B12" w:rsidP="00797931">
            <w:pPr>
              <w:jc w:val="both"/>
              <w:rPr>
                <w:rFonts w:ascii="Times New Roman" w:hAnsi="Times New Roman" w:cs="Times New Roman"/>
              </w:rPr>
            </w:pPr>
            <w:r>
              <w:rPr>
                <w:rFonts w:ascii="Times New Roman" w:hAnsi="Times New Roman" w:cs="Times New Roman"/>
              </w:rPr>
              <w:t>Vājās puses:</w:t>
            </w:r>
          </w:p>
          <w:p w14:paraId="1DC7C97F" w14:textId="77777777" w:rsidR="002B0B12" w:rsidRDefault="002B0B12" w:rsidP="00797931">
            <w:pPr>
              <w:jc w:val="both"/>
              <w:rPr>
                <w:rFonts w:ascii="Times New Roman" w:hAnsi="Times New Roman" w:cs="Times New Roman"/>
              </w:rPr>
            </w:pPr>
          </w:p>
          <w:p w14:paraId="1489D658" w14:textId="77777777" w:rsidR="002B0B12" w:rsidRDefault="002B0B12" w:rsidP="00797931">
            <w:pPr>
              <w:jc w:val="both"/>
              <w:rPr>
                <w:rFonts w:ascii="Times New Roman" w:hAnsi="Times New Roman" w:cs="Times New Roman"/>
              </w:rPr>
            </w:pPr>
            <w:r>
              <w:rPr>
                <w:rFonts w:ascii="Times New Roman" w:hAnsi="Times New Roman" w:cs="Times New Roman"/>
              </w:rPr>
              <w:t>Ieteikumi:</w:t>
            </w:r>
          </w:p>
          <w:p w14:paraId="06F0B335" w14:textId="77777777" w:rsidR="002B0B12" w:rsidRPr="005877E3" w:rsidRDefault="002B0B12" w:rsidP="00797931">
            <w:pPr>
              <w:jc w:val="both"/>
              <w:rPr>
                <w:rFonts w:ascii="Times New Roman" w:hAnsi="Times New Roman" w:cs="Times New Roman"/>
              </w:rPr>
            </w:pPr>
            <w:r w:rsidRPr="00665C64">
              <w:rPr>
                <w:rFonts w:ascii="Times New Roman" w:hAnsi="Times New Roman" w:cs="Times New Roman"/>
              </w:rPr>
              <w:t xml:space="preserve">Ja kādā no vērtēšanas kritērijiem ir vērtējums </w:t>
            </w:r>
            <w:r>
              <w:rPr>
                <w:rFonts w:ascii="Times New Roman" w:hAnsi="Times New Roman" w:cs="Times New Roman"/>
              </w:rPr>
              <w:t>“</w:t>
            </w:r>
            <w:r w:rsidRPr="00665C64">
              <w:rPr>
                <w:rFonts w:ascii="Times New Roman" w:hAnsi="Times New Roman" w:cs="Times New Roman"/>
              </w:rPr>
              <w:t>Atbilst ar ie</w:t>
            </w:r>
            <w:r>
              <w:rPr>
                <w:rFonts w:ascii="Times New Roman" w:hAnsi="Times New Roman" w:cs="Times New Roman"/>
              </w:rPr>
              <w:t>teikumiem</w:t>
            </w:r>
            <w:r w:rsidRPr="00665C64">
              <w:rPr>
                <w:rFonts w:ascii="Times New Roman" w:hAnsi="Times New Roman" w:cs="Times New Roman"/>
              </w:rPr>
              <w:t>/Neatbilst</w:t>
            </w:r>
            <w:r>
              <w:rPr>
                <w:rFonts w:ascii="Times New Roman" w:hAnsi="Times New Roman" w:cs="Times New Roman"/>
              </w:rPr>
              <w:t>”</w:t>
            </w:r>
            <w:r w:rsidRPr="00665C64">
              <w:rPr>
                <w:rFonts w:ascii="Times New Roman" w:hAnsi="Times New Roman" w:cs="Times New Roman"/>
              </w:rPr>
              <w:t xml:space="preserve">, eksperts sniedz ieteikumus pētniecības pieteikuma </w:t>
            </w:r>
            <w:r>
              <w:rPr>
                <w:rFonts w:ascii="Times New Roman" w:hAnsi="Times New Roman" w:cs="Times New Roman"/>
              </w:rPr>
              <w:t>sociālekonomiskās ietekmes</w:t>
            </w:r>
            <w:r w:rsidRPr="00665C64">
              <w:rPr>
                <w:rFonts w:ascii="Times New Roman" w:hAnsi="Times New Roman" w:cs="Times New Roman"/>
              </w:rPr>
              <w:t xml:space="preserve"> uzlabošanai.</w:t>
            </w:r>
          </w:p>
        </w:tc>
        <w:tc>
          <w:tcPr>
            <w:tcW w:w="1559" w:type="dxa"/>
          </w:tcPr>
          <w:p w14:paraId="5B17A56F" w14:textId="77777777" w:rsidR="002B0B12" w:rsidRPr="005877E3" w:rsidRDefault="002B0B12" w:rsidP="00797931">
            <w:pPr>
              <w:jc w:val="both"/>
              <w:rPr>
                <w:rFonts w:ascii="Times New Roman" w:hAnsi="Times New Roman" w:cs="Times New Roman"/>
              </w:rPr>
            </w:pPr>
          </w:p>
        </w:tc>
      </w:tr>
      <w:tr w:rsidR="002B0B12" w:rsidRPr="00822DE8" w14:paraId="788A0704" w14:textId="77777777" w:rsidTr="002B0B12">
        <w:tc>
          <w:tcPr>
            <w:tcW w:w="1903" w:type="dxa"/>
          </w:tcPr>
          <w:p w14:paraId="6D9DB2E1" w14:textId="77777777" w:rsidR="002B0B12" w:rsidRPr="005877E3" w:rsidRDefault="002B0B12" w:rsidP="00797931">
            <w:pPr>
              <w:jc w:val="both"/>
              <w:rPr>
                <w:rFonts w:ascii="Times New Roman" w:hAnsi="Times New Roman" w:cs="Times New Roman"/>
                <w:b/>
              </w:rPr>
            </w:pPr>
            <w:r>
              <w:rPr>
                <w:rFonts w:ascii="Times New Roman" w:hAnsi="Times New Roman" w:cs="Times New Roman"/>
                <w:b/>
              </w:rPr>
              <w:t>Īstenošanas kvalitāte</w:t>
            </w:r>
          </w:p>
        </w:tc>
        <w:tc>
          <w:tcPr>
            <w:tcW w:w="5889" w:type="dxa"/>
          </w:tcPr>
          <w:p w14:paraId="55E45D38" w14:textId="77777777" w:rsidR="002B0B12" w:rsidRDefault="002B0B12" w:rsidP="00797931">
            <w:pPr>
              <w:jc w:val="both"/>
              <w:rPr>
                <w:rFonts w:ascii="Times New Roman" w:hAnsi="Times New Roman" w:cs="Times New Roman"/>
              </w:rPr>
            </w:pPr>
            <w:r>
              <w:rPr>
                <w:rFonts w:ascii="Times New Roman" w:hAnsi="Times New Roman" w:cs="Times New Roman"/>
              </w:rPr>
              <w:t>Stiprās puses:</w:t>
            </w:r>
          </w:p>
          <w:p w14:paraId="34D9145F" w14:textId="77777777" w:rsidR="002B0B12" w:rsidRDefault="002B0B12" w:rsidP="00797931">
            <w:pPr>
              <w:jc w:val="both"/>
              <w:rPr>
                <w:rFonts w:ascii="Times New Roman" w:hAnsi="Times New Roman" w:cs="Times New Roman"/>
              </w:rPr>
            </w:pPr>
          </w:p>
          <w:p w14:paraId="06EF50FD" w14:textId="77777777" w:rsidR="002B0B12" w:rsidRDefault="002B0B12" w:rsidP="00797931">
            <w:pPr>
              <w:jc w:val="both"/>
              <w:rPr>
                <w:rFonts w:ascii="Times New Roman" w:hAnsi="Times New Roman" w:cs="Times New Roman"/>
              </w:rPr>
            </w:pPr>
            <w:r>
              <w:rPr>
                <w:rFonts w:ascii="Times New Roman" w:hAnsi="Times New Roman" w:cs="Times New Roman"/>
              </w:rPr>
              <w:t>Vājās puses:</w:t>
            </w:r>
          </w:p>
          <w:p w14:paraId="2602B089" w14:textId="77777777" w:rsidR="002B0B12" w:rsidRDefault="002B0B12" w:rsidP="00797931">
            <w:pPr>
              <w:jc w:val="both"/>
              <w:rPr>
                <w:rFonts w:ascii="Times New Roman" w:hAnsi="Times New Roman" w:cs="Times New Roman"/>
              </w:rPr>
            </w:pPr>
          </w:p>
          <w:p w14:paraId="503B3B34" w14:textId="77777777" w:rsidR="002B0B12" w:rsidRDefault="002B0B12" w:rsidP="00797931">
            <w:pPr>
              <w:jc w:val="both"/>
              <w:rPr>
                <w:rFonts w:ascii="Times New Roman" w:hAnsi="Times New Roman" w:cs="Times New Roman"/>
              </w:rPr>
            </w:pPr>
            <w:r>
              <w:rPr>
                <w:rFonts w:ascii="Times New Roman" w:hAnsi="Times New Roman" w:cs="Times New Roman"/>
              </w:rPr>
              <w:t>Ieteikumi:</w:t>
            </w:r>
          </w:p>
          <w:p w14:paraId="0B5B2604" w14:textId="77777777" w:rsidR="002B0B12" w:rsidRPr="005877E3" w:rsidRDefault="002B0B12" w:rsidP="00797931">
            <w:pPr>
              <w:jc w:val="both"/>
              <w:rPr>
                <w:rFonts w:ascii="Times New Roman" w:hAnsi="Times New Roman" w:cs="Times New Roman"/>
              </w:rPr>
            </w:pPr>
            <w:r w:rsidRPr="00665C64">
              <w:rPr>
                <w:rFonts w:ascii="Times New Roman" w:hAnsi="Times New Roman" w:cs="Times New Roman"/>
              </w:rPr>
              <w:t xml:space="preserve">Ja kādā no vērtēšanas kritērijiem ir vērtējums </w:t>
            </w:r>
            <w:r>
              <w:rPr>
                <w:rFonts w:ascii="Times New Roman" w:hAnsi="Times New Roman" w:cs="Times New Roman"/>
              </w:rPr>
              <w:t>“</w:t>
            </w:r>
            <w:r w:rsidRPr="00665C64">
              <w:rPr>
                <w:rFonts w:ascii="Times New Roman" w:hAnsi="Times New Roman" w:cs="Times New Roman"/>
              </w:rPr>
              <w:t>Atbilst ar ie</w:t>
            </w:r>
            <w:r>
              <w:rPr>
                <w:rFonts w:ascii="Times New Roman" w:hAnsi="Times New Roman" w:cs="Times New Roman"/>
              </w:rPr>
              <w:t>teikumiem</w:t>
            </w:r>
            <w:r w:rsidRPr="00665C64">
              <w:rPr>
                <w:rFonts w:ascii="Times New Roman" w:hAnsi="Times New Roman" w:cs="Times New Roman"/>
              </w:rPr>
              <w:t>/Neatbilst</w:t>
            </w:r>
            <w:r>
              <w:rPr>
                <w:rFonts w:ascii="Times New Roman" w:hAnsi="Times New Roman" w:cs="Times New Roman"/>
              </w:rPr>
              <w:t>”</w:t>
            </w:r>
            <w:r w:rsidRPr="00665C64">
              <w:rPr>
                <w:rFonts w:ascii="Times New Roman" w:hAnsi="Times New Roman" w:cs="Times New Roman"/>
              </w:rPr>
              <w:t>, eksperts sniedz ieteikumus pētniecības pieteikuma īstenošanas procesa uzlabošanai.</w:t>
            </w:r>
          </w:p>
        </w:tc>
        <w:tc>
          <w:tcPr>
            <w:tcW w:w="1559" w:type="dxa"/>
          </w:tcPr>
          <w:p w14:paraId="42CE1F0D" w14:textId="77777777" w:rsidR="002B0B12" w:rsidRPr="005877E3" w:rsidRDefault="002B0B12" w:rsidP="00797931">
            <w:pPr>
              <w:jc w:val="both"/>
              <w:rPr>
                <w:rFonts w:ascii="Times New Roman" w:hAnsi="Times New Roman" w:cs="Times New Roman"/>
              </w:rPr>
            </w:pPr>
          </w:p>
        </w:tc>
      </w:tr>
      <w:tr w:rsidR="002B0B12" w:rsidRPr="005877E3" w14:paraId="28BC524D" w14:textId="77777777" w:rsidTr="002B0B12">
        <w:tc>
          <w:tcPr>
            <w:tcW w:w="7792" w:type="dxa"/>
            <w:gridSpan w:val="2"/>
          </w:tcPr>
          <w:p w14:paraId="623C27BA" w14:textId="77777777" w:rsidR="002B0B12" w:rsidRPr="005877E3" w:rsidRDefault="002B0B12" w:rsidP="00797931">
            <w:pPr>
              <w:jc w:val="both"/>
              <w:rPr>
                <w:rFonts w:ascii="Times New Roman" w:hAnsi="Times New Roman" w:cs="Times New Roman"/>
                <w:b/>
              </w:rPr>
            </w:pPr>
            <w:r w:rsidRPr="005877E3">
              <w:rPr>
                <w:rFonts w:ascii="Times New Roman" w:hAnsi="Times New Roman" w:cs="Times New Roman"/>
                <w:b/>
              </w:rPr>
              <w:t>Kopējais vērtējums</w:t>
            </w:r>
          </w:p>
        </w:tc>
        <w:tc>
          <w:tcPr>
            <w:tcW w:w="1559" w:type="dxa"/>
          </w:tcPr>
          <w:p w14:paraId="38CCED67" w14:textId="77777777" w:rsidR="002B0B12" w:rsidRPr="005877E3" w:rsidRDefault="002B0B12" w:rsidP="00797931">
            <w:pPr>
              <w:jc w:val="both"/>
              <w:rPr>
                <w:rFonts w:ascii="Times New Roman" w:hAnsi="Times New Roman" w:cs="Times New Roman"/>
              </w:rPr>
            </w:pPr>
          </w:p>
        </w:tc>
      </w:tr>
    </w:tbl>
    <w:p w14:paraId="5BAE0B32" w14:textId="77777777" w:rsidR="002B0B12" w:rsidRPr="005877E3" w:rsidRDefault="002B0B12" w:rsidP="002B0B12">
      <w:pPr>
        <w:spacing w:after="0"/>
        <w:jc w:val="both"/>
        <w:rPr>
          <w:rFonts w:ascii="Times New Roman" w:hAnsi="Times New Roman" w:cs="Times New Roman"/>
          <w:i/>
        </w:rPr>
      </w:pPr>
    </w:p>
    <w:p w14:paraId="39B1B909" w14:textId="77777777" w:rsidR="002B0B12" w:rsidRPr="005877E3" w:rsidRDefault="002B0B12" w:rsidP="002B0B12">
      <w:pPr>
        <w:jc w:val="both"/>
        <w:rPr>
          <w:rFonts w:ascii="Times New Roman" w:hAnsi="Times New Roman" w:cs="Times New Roman"/>
          <w:i/>
        </w:rPr>
      </w:pPr>
    </w:p>
    <w:p w14:paraId="568D4E6C" w14:textId="77777777" w:rsidR="00285F71" w:rsidRPr="002D7AB0" w:rsidRDefault="00285F71" w:rsidP="00285F71">
      <w:pPr>
        <w:pStyle w:val="ListParagraph"/>
        <w:tabs>
          <w:tab w:val="left" w:pos="284"/>
        </w:tabs>
        <w:spacing w:after="0"/>
        <w:ind w:left="0"/>
        <w:jc w:val="both"/>
        <w:rPr>
          <w:rFonts w:ascii="Times New Roman" w:hAnsi="Times New Roman" w:cs="Times New Roman"/>
          <w:b/>
          <w:sz w:val="24"/>
          <w:szCs w:val="24"/>
        </w:rPr>
      </w:pPr>
    </w:p>
    <w:sectPr w:rsidR="00285F71" w:rsidRPr="002D7AB0" w:rsidSect="00290A67">
      <w:headerReference w:type="default" r:id="rId12"/>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670B" w14:textId="77777777" w:rsidR="00EB088C" w:rsidRDefault="00EB088C" w:rsidP="00D74E11">
      <w:pPr>
        <w:spacing w:after="0" w:line="240" w:lineRule="auto"/>
      </w:pPr>
      <w:r>
        <w:separator/>
      </w:r>
    </w:p>
  </w:endnote>
  <w:endnote w:type="continuationSeparator" w:id="0">
    <w:p w14:paraId="7361EDB0" w14:textId="77777777" w:rsidR="00EB088C" w:rsidRDefault="00EB088C" w:rsidP="00D7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Goth Cn TL">
    <w:altName w:val="Arial Narrow"/>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C989" w14:textId="77777777" w:rsidR="00EB088C" w:rsidRDefault="00EB088C" w:rsidP="00D74E11">
      <w:pPr>
        <w:spacing w:after="0" w:line="240" w:lineRule="auto"/>
      </w:pPr>
      <w:r>
        <w:separator/>
      </w:r>
    </w:p>
  </w:footnote>
  <w:footnote w:type="continuationSeparator" w:id="0">
    <w:p w14:paraId="4D9E0B5A" w14:textId="77777777" w:rsidR="00EB088C" w:rsidRDefault="00EB088C" w:rsidP="00D74E11">
      <w:pPr>
        <w:spacing w:after="0" w:line="240" w:lineRule="auto"/>
      </w:pPr>
      <w:r>
        <w:continuationSeparator/>
      </w:r>
    </w:p>
  </w:footnote>
  <w:footnote w:id="1">
    <w:p w14:paraId="2AF27447" w14:textId="01156340" w:rsidR="001230C1" w:rsidRPr="00271043" w:rsidRDefault="001230C1" w:rsidP="00271043">
      <w:pPr>
        <w:pStyle w:val="FootnoteText"/>
        <w:jc w:val="both"/>
        <w:rPr>
          <w:rFonts w:ascii="Times New Roman" w:hAnsi="Times New Roman" w:cs="Times New Roman"/>
          <w:sz w:val="16"/>
          <w:szCs w:val="16"/>
        </w:rPr>
      </w:pPr>
      <w:r w:rsidRPr="00271043">
        <w:rPr>
          <w:rStyle w:val="FootnoteReference"/>
          <w:rFonts w:ascii="Times New Roman" w:hAnsi="Times New Roman" w:cs="Times New Roman"/>
          <w:sz w:val="16"/>
          <w:szCs w:val="16"/>
        </w:rPr>
        <w:footnoteRef/>
      </w:r>
      <w:r w:rsidRPr="00271043">
        <w:rPr>
          <w:rFonts w:ascii="Times New Roman" w:hAnsi="Times New Roman" w:cs="Times New Roman"/>
          <w:sz w:val="16"/>
          <w:szCs w:val="16"/>
        </w:rPr>
        <w:t xml:space="preserve"> </w:t>
      </w:r>
      <w:r w:rsidR="00A93885" w:rsidRPr="00271043">
        <w:rPr>
          <w:rFonts w:ascii="Times New Roman" w:hAnsi="Times New Roman" w:cs="Times New Roman"/>
          <w:sz w:val="16"/>
          <w:szCs w:val="16"/>
        </w:rPr>
        <w:t xml:space="preserve">Ministru kabineta </w:t>
      </w:r>
      <w:r w:rsidR="0041469A" w:rsidRPr="00271043">
        <w:rPr>
          <w:rFonts w:ascii="Times New Roman" w:hAnsi="Times New Roman" w:cs="Times New Roman"/>
          <w:sz w:val="16"/>
          <w:szCs w:val="16"/>
        </w:rPr>
        <w:t xml:space="preserve">2024.gada 9.janvāra </w:t>
      </w:r>
      <w:r w:rsidR="002B459A" w:rsidRPr="00271043">
        <w:rPr>
          <w:rFonts w:ascii="Times New Roman" w:hAnsi="Times New Roman" w:cs="Times New Roman"/>
          <w:sz w:val="16"/>
          <w:szCs w:val="16"/>
        </w:rPr>
        <w:t>noteikumu Nr. 50 “Eiropas Savienības kohēzijas politikas programmas 2021.–2027. gadam 1.1.1. specifiskā atbalsta mērķa "Pētniecības un inovāciju kapacitātes stiprināšana un progresīvu tehnoloģiju ieviešana kopējā P&amp;A sistēmā" 1.1.1.9. pasākuma "Pēcdoktorantūras pētījumi" īstenošanas noteikumi”</w:t>
      </w:r>
      <w:r w:rsidR="00B75EE2" w:rsidRPr="00271043">
        <w:rPr>
          <w:rFonts w:ascii="Times New Roman" w:hAnsi="Times New Roman" w:cs="Times New Roman"/>
          <w:sz w:val="16"/>
          <w:szCs w:val="16"/>
        </w:rPr>
        <w:t xml:space="preserve"> (turpmāk - MK noteikumi) </w:t>
      </w:r>
      <w:r w:rsidR="00AD2DAA" w:rsidRPr="00271043">
        <w:rPr>
          <w:rFonts w:ascii="Times New Roman" w:hAnsi="Times New Roman" w:cs="Times New Roman"/>
          <w:sz w:val="16"/>
          <w:szCs w:val="16"/>
        </w:rPr>
        <w:t>27.</w:t>
      </w:r>
      <w:r w:rsidR="00C74286" w:rsidRPr="00271043">
        <w:rPr>
          <w:rFonts w:ascii="Times New Roman" w:hAnsi="Times New Roman" w:cs="Times New Roman"/>
          <w:sz w:val="16"/>
          <w:szCs w:val="16"/>
        </w:rPr>
        <w:t xml:space="preserve">punkts. Pieejams: </w:t>
      </w:r>
      <w:hyperlink r:id="rId1" w:history="1">
        <w:r w:rsidR="00271043" w:rsidRPr="00271043">
          <w:rPr>
            <w:rStyle w:val="Hyperlink"/>
            <w:rFonts w:ascii="Times New Roman" w:hAnsi="Times New Roman" w:cs="Times New Roman"/>
            <w:sz w:val="16"/>
            <w:szCs w:val="16"/>
          </w:rPr>
          <w:t>https://likumi.lv/ta/id/349180-eiropas-savienibas-kohezijas-politikas-programmas-2021-2027-gadam-1-1-1-specifiska-atbalsta-merka-petniecibas-un-inovaciju-kapa</w:t>
        </w:r>
      </w:hyperlink>
      <w:r w:rsidR="00271043" w:rsidRPr="00271043">
        <w:rPr>
          <w:rFonts w:ascii="Times New Roman" w:hAnsi="Times New Roman" w:cs="Times New Roman"/>
          <w:sz w:val="16"/>
          <w:szCs w:val="16"/>
        </w:rPr>
        <w:t xml:space="preserve">... </w:t>
      </w:r>
      <w:r w:rsidR="00B75EE2" w:rsidRPr="00271043">
        <w:rPr>
          <w:rFonts w:ascii="Times New Roman" w:hAnsi="Times New Roman" w:cs="Times New Roman"/>
          <w:sz w:val="16"/>
          <w:szCs w:val="16"/>
        </w:rPr>
        <w:t xml:space="preserve"> </w:t>
      </w:r>
    </w:p>
  </w:footnote>
  <w:footnote w:id="2">
    <w:p w14:paraId="59B3714A" w14:textId="77777777" w:rsidR="008962C9" w:rsidRPr="00AA0EE6" w:rsidRDefault="008962C9" w:rsidP="008962C9">
      <w:pPr>
        <w:pStyle w:val="FootnoteText"/>
        <w:jc w:val="both"/>
      </w:pPr>
      <w:r>
        <w:rPr>
          <w:rStyle w:val="FootnoteReference"/>
        </w:rPr>
        <w:footnoteRef/>
      </w:r>
      <w:r w:rsidRPr="007523B8">
        <w:t xml:space="preserve"> </w:t>
      </w:r>
      <w:r w:rsidRPr="00C326B9">
        <w:rPr>
          <w:rFonts w:ascii="Times New Roman" w:hAnsi="Times New Roman" w:cs="Times New Roman"/>
          <w:sz w:val="18"/>
          <w:szCs w:val="18"/>
        </w:rPr>
        <w:t xml:space="preserve">Rādītājs uzskatāms par sasniegtu, ja pēcdoktorantūras pētniecības pieteikumu ietvaros iesaistītie </w:t>
      </w:r>
      <w:r>
        <w:rPr>
          <w:rFonts w:ascii="Times New Roman" w:hAnsi="Times New Roman" w:cs="Times New Roman"/>
          <w:sz w:val="18"/>
          <w:szCs w:val="18"/>
        </w:rPr>
        <w:t>pēcdoktoranti izstrādā zin</w:t>
      </w:r>
      <w:r w:rsidRPr="00C326B9">
        <w:rPr>
          <w:rFonts w:ascii="Times New Roman" w:hAnsi="Times New Roman" w:cs="Times New Roman"/>
          <w:sz w:val="18"/>
          <w:szCs w:val="18"/>
        </w:rPr>
        <w:t>ātnisko rakstu individuāli vai ir kā vieni no zinātniskā raksta līdzautori</w:t>
      </w:r>
      <w:r>
        <w:rPr>
          <w:rFonts w:ascii="Times New Roman" w:hAnsi="Times New Roman" w:cs="Times New Roman"/>
          <w:sz w:val="18"/>
          <w:szCs w:val="18"/>
        </w:rPr>
        <w:t>em</w:t>
      </w:r>
      <w:r w:rsidRPr="00C326B9">
        <w:rPr>
          <w:rFonts w:ascii="Times New Roman" w:hAnsi="Times New Roman" w:cs="Times New Roman"/>
          <w:sz w:val="18"/>
          <w:szCs w:val="18"/>
        </w:rPr>
        <w:t>.</w:t>
      </w:r>
    </w:p>
  </w:footnote>
  <w:footnote w:id="3">
    <w:p w14:paraId="540E0C68" w14:textId="77777777" w:rsidR="008962C9" w:rsidRDefault="008962C9" w:rsidP="008962C9">
      <w:pPr>
        <w:pStyle w:val="FootnoteText"/>
        <w:jc w:val="both"/>
      </w:pPr>
      <w:r>
        <w:rPr>
          <w:rStyle w:val="FootnoteReference"/>
        </w:rPr>
        <w:footnoteRef/>
      </w:r>
      <w:r w:rsidRPr="007523B8">
        <w:t xml:space="preserve"> </w:t>
      </w:r>
      <w:r w:rsidRPr="00415339">
        <w:rPr>
          <w:rFonts w:ascii="Times New Roman" w:hAnsi="Times New Roman" w:cs="Times New Roman"/>
          <w:sz w:val="18"/>
          <w:szCs w:val="18"/>
        </w:rPr>
        <w:t>Jauns produkts: Izstrādātu jaunu produktu (preces vai pakalpojumi, kuri ir pilnīgi jauni vai kuriem ir uzlabotas funkcionālās īpašības vai mainīts paredzamais lietošanas veids (tai skaitā mainīti vai uzlaboti tehniskie parametri, sastāvdaļas, materiāli, pievienotā programmatūra, lietotājiem draudzīgas īpašības)</w:t>
      </w:r>
      <w:r>
        <w:rPr>
          <w:rFonts w:ascii="Times New Roman" w:hAnsi="Times New Roman" w:cs="Times New Roman"/>
          <w:sz w:val="18"/>
          <w:szCs w:val="18"/>
        </w:rPr>
        <w:t>)</w:t>
      </w:r>
      <w:r w:rsidRPr="00415339">
        <w:rPr>
          <w:rFonts w:ascii="Times New Roman" w:hAnsi="Times New Roman" w:cs="Times New Roman"/>
          <w:sz w:val="18"/>
          <w:szCs w:val="18"/>
        </w:rPr>
        <w:t xml:space="preserve"> skaits, kam nodrošināta zināšanu un tehnoloģiju pārnese (t.i., noteiktu zināšanu, ražotprasmes un tehnoloģiju nodrošina no izstrādātāja lietotājam ražošanas vai lietošanas vajadzībām) vai projekta izstrādes ieviešanas ražošanā vai pakalpojumu sniegšanā.</w:t>
      </w:r>
      <w:r>
        <w:t xml:space="preserve"> </w:t>
      </w:r>
    </w:p>
    <w:p w14:paraId="39FEDA88" w14:textId="77777777" w:rsidR="008962C9" w:rsidRPr="00FA7732" w:rsidRDefault="008962C9" w:rsidP="008962C9">
      <w:pPr>
        <w:pStyle w:val="tv213"/>
        <w:spacing w:before="0" w:beforeAutospacing="0" w:after="0" w:afterAutospacing="0"/>
        <w:jc w:val="both"/>
        <w:rPr>
          <w:sz w:val="18"/>
          <w:szCs w:val="18"/>
        </w:rPr>
      </w:pPr>
      <w:r w:rsidRPr="00FA7732">
        <w:rPr>
          <w:sz w:val="18"/>
          <w:szCs w:val="18"/>
        </w:rPr>
        <w:t>Par jaunu produktu neuzskata:</w:t>
      </w:r>
    </w:p>
    <w:p w14:paraId="01126AB4" w14:textId="77777777" w:rsidR="008962C9" w:rsidRPr="00FA7732" w:rsidRDefault="008962C9" w:rsidP="008962C9">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kādas procesa daļas izmantošanas pārtraukšanu;</w:t>
      </w:r>
    </w:p>
    <w:p w14:paraId="3A941FF5" w14:textId="77777777" w:rsidR="008962C9" w:rsidRPr="00FA7732" w:rsidRDefault="008962C9" w:rsidP="008962C9">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5F9AC60E" w14:textId="77777777" w:rsidR="008962C9" w:rsidRPr="00FA7732" w:rsidRDefault="008962C9" w:rsidP="008962C9">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komponentu cenu maiņas dēļ radušās izmaiņas (produkta cenas vai ražošanas procesa produktivitātes izmaiņas nav produktu inovācija, piemēram, datoru ražošanā, samazinoties mikroshēmas cenai, tā paša datora modeļa pārdošanas cenu samazinājums);</w:t>
      </w:r>
    </w:p>
    <w:p w14:paraId="4FACFA66" w14:textId="77777777" w:rsidR="008962C9" w:rsidRPr="00FA7732" w:rsidRDefault="008962C9" w:rsidP="008962C9">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3A0F09CD" w14:textId="77777777" w:rsidR="008962C9" w:rsidRPr="00FA7732" w:rsidRDefault="008962C9" w:rsidP="008962C9">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ikdienas, sezonas un cikliskas izmaiņas un uzlabojumus (piemēram, apģērbu ražošanā jaunas sezonas kolekcija nav uzskatāma par inovāciju);</w:t>
      </w:r>
    </w:p>
    <w:p w14:paraId="6DF7C2C7" w14:textId="77777777" w:rsidR="008962C9" w:rsidRPr="00FA7732" w:rsidRDefault="008962C9" w:rsidP="008962C9">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dizaina izmaiņas (tajā skaitā garša un smarža), kas nemaina funkcijas, lietojumu vai tehniskās īpašības;</w:t>
      </w:r>
    </w:p>
    <w:p w14:paraId="54F84D2B" w14:textId="77777777" w:rsidR="008962C9" w:rsidRPr="00FA7732" w:rsidRDefault="008962C9" w:rsidP="008962C9">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citu ražotāju preču vai procesu tālākpārdošanu;</w:t>
      </w:r>
    </w:p>
    <w:p w14:paraId="54B554A5" w14:textId="77777777" w:rsidR="008962C9" w:rsidRPr="009E0E4D" w:rsidRDefault="008962C9" w:rsidP="008962C9">
      <w:pPr>
        <w:pStyle w:val="tv213"/>
        <w:spacing w:before="0" w:beforeAutospacing="0" w:after="0" w:afterAutospacing="0"/>
        <w:ind w:left="426" w:hanging="142"/>
        <w:jc w:val="both"/>
        <w:rPr>
          <w:sz w:val="18"/>
          <w:szCs w:val="18"/>
        </w:rPr>
      </w:pPr>
      <w:r w:rsidRPr="009E0E4D">
        <w:rPr>
          <w:sz w:val="18"/>
          <w:szCs w:val="18"/>
        </w:rPr>
        <w:t>-</w:t>
      </w:r>
      <w:r w:rsidRPr="009E0E4D">
        <w:rPr>
          <w:sz w:val="18"/>
          <w:szCs w:val="18"/>
        </w:rPr>
        <w:tab/>
        <w:t>uzlabojumus tirgvedības veicināšanai (tai skaitā estētiskas izmaiņas);</w:t>
      </w:r>
    </w:p>
    <w:p w14:paraId="4B7D189B" w14:textId="77777777" w:rsidR="008962C9" w:rsidRPr="009E0E4D" w:rsidRDefault="008962C9" w:rsidP="008962C9">
      <w:pPr>
        <w:pStyle w:val="FootnoteText"/>
        <w:ind w:firstLine="284"/>
        <w:rPr>
          <w:rFonts w:ascii="Times New Roman" w:hAnsi="Times New Roman"/>
          <w:sz w:val="18"/>
          <w:szCs w:val="18"/>
        </w:rPr>
      </w:pPr>
      <w:r w:rsidRPr="009E0E4D">
        <w:rPr>
          <w:rFonts w:ascii="Times New Roman" w:hAnsi="Times New Roman"/>
          <w:sz w:val="18"/>
          <w:szCs w:val="18"/>
        </w:rPr>
        <w:t xml:space="preserve">-  </w:t>
      </w:r>
      <w:r w:rsidRPr="009E0E4D">
        <w:rPr>
          <w:rFonts w:ascii="Times New Roman" w:eastAsia="Times New Roman" w:hAnsi="Times New Roman"/>
          <w:sz w:val="18"/>
          <w:szCs w:val="18"/>
          <w:lang w:eastAsia="lv-LV"/>
        </w:rPr>
        <w:t>organizatorisko procesu uzlabošanu komersanta darbībā.</w:t>
      </w:r>
    </w:p>
  </w:footnote>
  <w:footnote w:id="4">
    <w:p w14:paraId="1925C3E8" w14:textId="77777777" w:rsidR="008962C9" w:rsidRPr="00AC78F6" w:rsidRDefault="008962C9" w:rsidP="008962C9">
      <w:pPr>
        <w:pStyle w:val="FootnoteText"/>
        <w:jc w:val="both"/>
      </w:pPr>
      <w:r w:rsidRPr="009E0E4D">
        <w:rPr>
          <w:rStyle w:val="FootnoteReference"/>
        </w:rPr>
        <w:footnoteRef/>
      </w:r>
      <w:r w:rsidRPr="009E0E4D">
        <w:t xml:space="preserve"> </w:t>
      </w:r>
      <w:r w:rsidRPr="009E0E4D">
        <w:rPr>
          <w:rFonts w:ascii="Times New Roman" w:eastAsia="Times New Roman" w:hAnsi="Times New Roman"/>
          <w:sz w:val="18"/>
          <w:szCs w:val="18"/>
          <w:lang w:eastAsia="lv-LV"/>
        </w:rPr>
        <w:t xml:space="preserve">Jauna tehnoloģija – tehnoloģija, kas atbilst </w:t>
      </w:r>
      <w:r>
        <w:rPr>
          <w:rFonts w:ascii="Times New Roman" w:eastAsia="Times New Roman" w:hAnsi="Times New Roman"/>
          <w:sz w:val="18"/>
          <w:szCs w:val="18"/>
          <w:lang w:eastAsia="lv-LV"/>
        </w:rPr>
        <w:t>Komisijas 2014. gada 17. </w:t>
      </w:r>
      <w:r w:rsidRPr="00D20C20">
        <w:rPr>
          <w:rFonts w:ascii="Times New Roman" w:eastAsia="Times New Roman" w:hAnsi="Times New Roman"/>
          <w:sz w:val="18"/>
          <w:szCs w:val="18"/>
          <w:lang w:eastAsia="lv-LV"/>
        </w:rPr>
        <w:t>jūnija Regulas (ES) Nr.</w:t>
      </w:r>
      <w:r>
        <w:rPr>
          <w:rFonts w:ascii="Times New Roman" w:eastAsia="Times New Roman" w:hAnsi="Times New Roman"/>
          <w:sz w:val="18"/>
          <w:szCs w:val="18"/>
          <w:lang w:eastAsia="lv-LV"/>
        </w:rPr>
        <w:t> </w:t>
      </w:r>
      <w:hyperlink r:id="rId2" w:tgtFrame="_blank" w:history="1">
        <w:r w:rsidRPr="00D20C20">
          <w:rPr>
            <w:rFonts w:ascii="Times New Roman" w:eastAsia="Times New Roman" w:hAnsi="Times New Roman"/>
            <w:sz w:val="18"/>
            <w:szCs w:val="18"/>
            <w:lang w:eastAsia="lv-LV"/>
          </w:rPr>
          <w:t>651/2014</w:t>
        </w:r>
      </w:hyperlink>
      <w:r w:rsidRPr="00D20C20">
        <w:rPr>
          <w:rFonts w:ascii="Times New Roman" w:eastAsia="Times New Roman" w:hAnsi="Times New Roman"/>
          <w:sz w:val="18"/>
          <w:szCs w:val="18"/>
          <w:lang w:eastAsia="lv-LV"/>
        </w:rPr>
        <w:t>, ar ko noteiktas atbalsta kategorijas atzīst par saderīgām ar iekšējo tirgu,</w:t>
      </w:r>
      <w:r>
        <w:rPr>
          <w:rFonts w:ascii="Times New Roman" w:eastAsia="Times New Roman" w:hAnsi="Times New Roman"/>
          <w:sz w:val="18"/>
          <w:szCs w:val="18"/>
          <w:lang w:eastAsia="lv-LV"/>
        </w:rPr>
        <w:t xml:space="preserve"> piemērojot Līguma 107. un 108. </w:t>
      </w:r>
      <w:r w:rsidRPr="00D20C20">
        <w:rPr>
          <w:rFonts w:ascii="Times New Roman" w:eastAsia="Times New Roman" w:hAnsi="Times New Roman"/>
          <w:sz w:val="18"/>
          <w:szCs w:val="18"/>
          <w:lang w:eastAsia="lv-LV"/>
        </w:rPr>
        <w:t>pantu (Eiropas Savienī</w:t>
      </w:r>
      <w:r>
        <w:rPr>
          <w:rFonts w:ascii="Times New Roman" w:eastAsia="Times New Roman" w:hAnsi="Times New Roman"/>
          <w:sz w:val="18"/>
          <w:szCs w:val="18"/>
          <w:lang w:eastAsia="lv-LV"/>
        </w:rPr>
        <w:t>bas Oficiālais Vēstnesis, 2014. gada 26. jūnijs, Nr. L </w:t>
      </w:r>
      <w:r w:rsidRPr="00D20C20">
        <w:rPr>
          <w:rFonts w:ascii="Times New Roman" w:eastAsia="Times New Roman" w:hAnsi="Times New Roman"/>
          <w:sz w:val="18"/>
          <w:szCs w:val="18"/>
          <w:lang w:eastAsia="lv-LV"/>
        </w:rPr>
        <w:t xml:space="preserve">187) </w:t>
      </w:r>
      <w:r w:rsidRPr="009E0E4D">
        <w:rPr>
          <w:rFonts w:ascii="Times New Roman" w:eastAsia="Times New Roman" w:hAnsi="Times New Roman"/>
          <w:sz w:val="18"/>
          <w:szCs w:val="18"/>
          <w:lang w:eastAsia="lv-LV"/>
        </w:rPr>
        <w:t xml:space="preserve"> 2. panta 114. punktā noteiktajai definīcijai, t.i. ir jauna un sevi vēl nepierādījusi tehnoloģija salīdzinājumā ar nozarē sasniegto tehnisko līmeni, kura ir saistīta ar tehnoloģiskās vai rūpnieciskās neizdošanās risku un nav esošās tehnoloģijas optimizācija vai uzlabošana.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9273" w14:textId="5DFB910B" w:rsidR="00343F40" w:rsidRDefault="00343F40" w:rsidP="00343F40">
    <w:pPr>
      <w:pStyle w:val="Header"/>
      <w:jc w:val="right"/>
    </w:pPr>
    <w:r w:rsidRPr="00E838CB">
      <w:rPr>
        <w:rFonts w:ascii="Times New Roman" w:eastAsia="Times New Roman" w:hAnsi="Times New Roman"/>
        <w:bCs/>
        <w:sz w:val="24"/>
        <w:szCs w:val="24"/>
      </w:rPr>
      <w:t>1.1.1.9. pasākum</w:t>
    </w:r>
    <w:r>
      <w:rPr>
        <w:rFonts w:ascii="Times New Roman" w:eastAsia="Times New Roman" w:hAnsi="Times New Roman"/>
        <w:bCs/>
        <w:sz w:val="24"/>
        <w:szCs w:val="24"/>
      </w:rPr>
      <w:t>s</w:t>
    </w:r>
    <w:r w:rsidRPr="00E838CB">
      <w:rPr>
        <w:rFonts w:ascii="Times New Roman" w:eastAsia="Times New Roman" w:hAnsi="Times New Roman"/>
        <w:bCs/>
        <w:sz w:val="24"/>
        <w:szCs w:val="24"/>
      </w:rPr>
      <w:t xml:space="preserve"> “Pēcdoktorantūras pētījumi”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72"/>
    <w:multiLevelType w:val="hybridMultilevel"/>
    <w:tmpl w:val="3A088DB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82363"/>
    <w:multiLevelType w:val="hybridMultilevel"/>
    <w:tmpl w:val="A91AD1A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0BC23D61"/>
    <w:multiLevelType w:val="hybridMultilevel"/>
    <w:tmpl w:val="F3D4AE6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D9D60FB"/>
    <w:multiLevelType w:val="hybridMultilevel"/>
    <w:tmpl w:val="71F675D2"/>
    <w:lvl w:ilvl="0" w:tplc="04260001">
      <w:start w:val="1"/>
      <w:numFmt w:val="bullet"/>
      <w:lvlText w:val=""/>
      <w:lvlJc w:val="left"/>
      <w:pPr>
        <w:ind w:left="1458" w:hanging="360"/>
      </w:pPr>
      <w:rPr>
        <w:rFonts w:ascii="Symbol" w:hAnsi="Symbol"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5" w15:restartNumberingAfterBreak="0">
    <w:nsid w:val="0EE46CB7"/>
    <w:multiLevelType w:val="hybridMultilevel"/>
    <w:tmpl w:val="E2EE4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C24700"/>
    <w:multiLevelType w:val="hybridMultilevel"/>
    <w:tmpl w:val="053ACB56"/>
    <w:lvl w:ilvl="0" w:tplc="0426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0FDD46AD"/>
    <w:multiLevelType w:val="hybridMultilevel"/>
    <w:tmpl w:val="8C8E9060"/>
    <w:lvl w:ilvl="0" w:tplc="57F0F084">
      <w:start w:val="1"/>
      <w:numFmt w:val="lowerLetter"/>
      <w:lvlText w:val="%1)"/>
      <w:lvlJc w:val="left"/>
      <w:pPr>
        <w:ind w:left="720"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1A764DA"/>
    <w:multiLevelType w:val="hybridMultilevel"/>
    <w:tmpl w:val="B4A6C662"/>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67B11D3"/>
    <w:multiLevelType w:val="hybridMultilevel"/>
    <w:tmpl w:val="D28E4726"/>
    <w:lvl w:ilvl="0" w:tplc="879868DA">
      <w:start w:val="5"/>
      <w:numFmt w:val="bullet"/>
      <w:lvlText w:val="-"/>
      <w:lvlJc w:val="left"/>
      <w:pPr>
        <w:ind w:left="1363" w:hanging="360"/>
      </w:pPr>
      <w:rPr>
        <w:rFonts w:ascii="Times New Roman" w:eastAsiaTheme="minorHAnsi" w:hAnsi="Times New Roman" w:cs="Times New Roman" w:hint="default"/>
        <w:color w:val="000000"/>
      </w:rPr>
    </w:lvl>
    <w:lvl w:ilvl="1" w:tplc="04260003" w:tentative="1">
      <w:start w:val="1"/>
      <w:numFmt w:val="bullet"/>
      <w:lvlText w:val="o"/>
      <w:lvlJc w:val="left"/>
      <w:pPr>
        <w:ind w:left="2083" w:hanging="360"/>
      </w:pPr>
      <w:rPr>
        <w:rFonts w:ascii="Courier New" w:hAnsi="Courier New" w:cs="Courier New" w:hint="default"/>
      </w:rPr>
    </w:lvl>
    <w:lvl w:ilvl="2" w:tplc="04260005" w:tentative="1">
      <w:start w:val="1"/>
      <w:numFmt w:val="bullet"/>
      <w:lvlText w:val=""/>
      <w:lvlJc w:val="left"/>
      <w:pPr>
        <w:ind w:left="2803" w:hanging="360"/>
      </w:pPr>
      <w:rPr>
        <w:rFonts w:ascii="Wingdings" w:hAnsi="Wingdings" w:hint="default"/>
      </w:rPr>
    </w:lvl>
    <w:lvl w:ilvl="3" w:tplc="04260001" w:tentative="1">
      <w:start w:val="1"/>
      <w:numFmt w:val="bullet"/>
      <w:lvlText w:val=""/>
      <w:lvlJc w:val="left"/>
      <w:pPr>
        <w:ind w:left="3523" w:hanging="360"/>
      </w:pPr>
      <w:rPr>
        <w:rFonts w:ascii="Symbol" w:hAnsi="Symbol" w:hint="default"/>
      </w:rPr>
    </w:lvl>
    <w:lvl w:ilvl="4" w:tplc="04260003" w:tentative="1">
      <w:start w:val="1"/>
      <w:numFmt w:val="bullet"/>
      <w:lvlText w:val="o"/>
      <w:lvlJc w:val="left"/>
      <w:pPr>
        <w:ind w:left="4243" w:hanging="360"/>
      </w:pPr>
      <w:rPr>
        <w:rFonts w:ascii="Courier New" w:hAnsi="Courier New" w:cs="Courier New" w:hint="default"/>
      </w:rPr>
    </w:lvl>
    <w:lvl w:ilvl="5" w:tplc="04260005" w:tentative="1">
      <w:start w:val="1"/>
      <w:numFmt w:val="bullet"/>
      <w:lvlText w:val=""/>
      <w:lvlJc w:val="left"/>
      <w:pPr>
        <w:ind w:left="4963" w:hanging="360"/>
      </w:pPr>
      <w:rPr>
        <w:rFonts w:ascii="Wingdings" w:hAnsi="Wingdings" w:hint="default"/>
      </w:rPr>
    </w:lvl>
    <w:lvl w:ilvl="6" w:tplc="04260001" w:tentative="1">
      <w:start w:val="1"/>
      <w:numFmt w:val="bullet"/>
      <w:lvlText w:val=""/>
      <w:lvlJc w:val="left"/>
      <w:pPr>
        <w:ind w:left="5683" w:hanging="360"/>
      </w:pPr>
      <w:rPr>
        <w:rFonts w:ascii="Symbol" w:hAnsi="Symbol" w:hint="default"/>
      </w:rPr>
    </w:lvl>
    <w:lvl w:ilvl="7" w:tplc="04260003" w:tentative="1">
      <w:start w:val="1"/>
      <w:numFmt w:val="bullet"/>
      <w:lvlText w:val="o"/>
      <w:lvlJc w:val="left"/>
      <w:pPr>
        <w:ind w:left="6403" w:hanging="360"/>
      </w:pPr>
      <w:rPr>
        <w:rFonts w:ascii="Courier New" w:hAnsi="Courier New" w:cs="Courier New" w:hint="default"/>
      </w:rPr>
    </w:lvl>
    <w:lvl w:ilvl="8" w:tplc="04260005" w:tentative="1">
      <w:start w:val="1"/>
      <w:numFmt w:val="bullet"/>
      <w:lvlText w:val=""/>
      <w:lvlJc w:val="left"/>
      <w:pPr>
        <w:ind w:left="7123" w:hanging="360"/>
      </w:pPr>
      <w:rPr>
        <w:rFonts w:ascii="Wingdings" w:hAnsi="Wingdings" w:hint="default"/>
      </w:rPr>
    </w:lvl>
  </w:abstractNum>
  <w:abstractNum w:abstractNumId="10" w15:restartNumberingAfterBreak="0">
    <w:nsid w:val="17E304FA"/>
    <w:multiLevelType w:val="hybridMultilevel"/>
    <w:tmpl w:val="501EF3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C2500C1"/>
    <w:multiLevelType w:val="multilevel"/>
    <w:tmpl w:val="C9B0E7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15:restartNumberingAfterBreak="0">
    <w:nsid w:val="29FB4A16"/>
    <w:multiLevelType w:val="hybridMultilevel"/>
    <w:tmpl w:val="6AF24E5A"/>
    <w:lvl w:ilvl="0" w:tplc="04260011">
      <w:start w:val="1"/>
      <w:numFmt w:val="decimal"/>
      <w:lvlText w:val="%1)"/>
      <w:lvlJc w:val="left"/>
      <w:pPr>
        <w:ind w:left="1287" w:hanging="360"/>
      </w:pPr>
    </w:lvl>
    <w:lvl w:ilvl="1" w:tplc="04260011">
      <w:start w:val="1"/>
      <w:numFmt w:val="decimal"/>
      <w:lvlText w:val="%2)"/>
      <w:lvlJc w:val="left"/>
      <w:pPr>
        <w:ind w:left="2007" w:hanging="360"/>
      </w:pPr>
    </w:lvl>
    <w:lvl w:ilvl="2" w:tplc="5CE89C8C">
      <w:start w:val="5"/>
      <w:numFmt w:val="decimal"/>
      <w:lvlText w:val="%3."/>
      <w:lvlJc w:val="left"/>
      <w:pPr>
        <w:ind w:left="2907" w:hanging="360"/>
      </w:pPr>
      <w:rPr>
        <w:rFonts w:hint="default"/>
      </w:r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2C0D1F43"/>
    <w:multiLevelType w:val="hybridMultilevel"/>
    <w:tmpl w:val="015A27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E576B12"/>
    <w:multiLevelType w:val="hybridMultilevel"/>
    <w:tmpl w:val="9B603408"/>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15:restartNumberingAfterBreak="0">
    <w:nsid w:val="31EF6CC2"/>
    <w:multiLevelType w:val="hybridMultilevel"/>
    <w:tmpl w:val="1990046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362D15CF"/>
    <w:multiLevelType w:val="hybridMultilevel"/>
    <w:tmpl w:val="9F6A38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B56460"/>
    <w:multiLevelType w:val="hybridMultilevel"/>
    <w:tmpl w:val="A7C4A45E"/>
    <w:lvl w:ilvl="0" w:tplc="04260001">
      <w:start w:val="1"/>
      <w:numFmt w:val="bullet"/>
      <w:lvlText w:val=""/>
      <w:lvlJc w:val="left"/>
      <w:pPr>
        <w:ind w:left="720" w:hanging="360"/>
      </w:pPr>
      <w:rPr>
        <w:rFonts w:ascii="Symbol" w:hAnsi="Symbol" w:hint="default"/>
      </w:rPr>
    </w:lvl>
    <w:lvl w:ilvl="1" w:tplc="4300A770">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FCF3163"/>
    <w:multiLevelType w:val="hybridMultilevel"/>
    <w:tmpl w:val="CD5CDC7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0" w15:restartNumberingAfterBreak="0">
    <w:nsid w:val="44B51555"/>
    <w:multiLevelType w:val="hybridMultilevel"/>
    <w:tmpl w:val="678A947A"/>
    <w:lvl w:ilvl="0" w:tplc="A45E2E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D43BF2"/>
    <w:multiLevelType w:val="hybridMultilevel"/>
    <w:tmpl w:val="C7325D2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2D1592F"/>
    <w:multiLevelType w:val="hybridMultilevel"/>
    <w:tmpl w:val="4A86686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086FBB"/>
    <w:multiLevelType w:val="hybridMultilevel"/>
    <w:tmpl w:val="62FCF37E"/>
    <w:lvl w:ilvl="0" w:tplc="35BE09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44066E2"/>
    <w:multiLevelType w:val="hybridMultilevel"/>
    <w:tmpl w:val="75E074E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7"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9" w15:restartNumberingAfterBreak="0">
    <w:nsid w:val="60EA2B41"/>
    <w:multiLevelType w:val="hybridMultilevel"/>
    <w:tmpl w:val="4A76EE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285A68"/>
    <w:multiLevelType w:val="multilevel"/>
    <w:tmpl w:val="26667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AE0CEB"/>
    <w:multiLevelType w:val="hybridMultilevel"/>
    <w:tmpl w:val="5786017E"/>
    <w:lvl w:ilvl="0" w:tplc="FFFFFFFF">
      <w:start w:val="1"/>
      <w:numFmt w:val="bullet"/>
      <w:lvlText w:val=""/>
      <w:lvlJc w:val="left"/>
      <w:pPr>
        <w:ind w:left="108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9047F0A"/>
    <w:multiLevelType w:val="hybridMultilevel"/>
    <w:tmpl w:val="B1DA739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3" w15:restartNumberingAfterBreak="0">
    <w:nsid w:val="69D56975"/>
    <w:multiLevelType w:val="hybridMultilevel"/>
    <w:tmpl w:val="8B80593A"/>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114D54"/>
    <w:multiLevelType w:val="multilevel"/>
    <w:tmpl w:val="CB16C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FE32CF"/>
    <w:multiLevelType w:val="hybridMultilevel"/>
    <w:tmpl w:val="6E3C7DB6"/>
    <w:lvl w:ilvl="0" w:tplc="04260011">
      <w:start w:val="1"/>
      <w:numFmt w:val="decimal"/>
      <w:lvlText w:val="%1)"/>
      <w:lvlJc w:val="left"/>
      <w:pPr>
        <w:ind w:left="1287" w:hanging="360"/>
      </w:pPr>
    </w:lvl>
    <w:lvl w:ilvl="1" w:tplc="43EAF4C8">
      <w:numFmt w:val="bullet"/>
      <w:lvlText w:val="-"/>
      <w:lvlJc w:val="left"/>
      <w:pPr>
        <w:ind w:left="2007" w:hanging="360"/>
      </w:pPr>
      <w:rPr>
        <w:rFonts w:ascii="Times New Roman" w:eastAsiaTheme="minorHAnsi" w:hAnsi="Times New Roman" w:cs="Times New Roman"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78B33F22"/>
    <w:multiLevelType w:val="hybridMultilevel"/>
    <w:tmpl w:val="3FC6F3D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7" w15:restartNumberingAfterBreak="0">
    <w:nsid w:val="79A33E1B"/>
    <w:multiLevelType w:val="hybridMultilevel"/>
    <w:tmpl w:val="9CE45DE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8" w15:restartNumberingAfterBreak="0">
    <w:nsid w:val="7E1C50BC"/>
    <w:multiLevelType w:val="multilevel"/>
    <w:tmpl w:val="172EC3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5738751">
    <w:abstractNumId w:val="34"/>
  </w:num>
  <w:num w:numId="2" w16cid:durableId="61221377">
    <w:abstractNumId w:val="14"/>
  </w:num>
  <w:num w:numId="3" w16cid:durableId="871040515">
    <w:abstractNumId w:val="1"/>
  </w:num>
  <w:num w:numId="4" w16cid:durableId="1742024374">
    <w:abstractNumId w:val="19"/>
  </w:num>
  <w:num w:numId="5" w16cid:durableId="803037031">
    <w:abstractNumId w:val="4"/>
  </w:num>
  <w:num w:numId="6" w16cid:durableId="1798528381">
    <w:abstractNumId w:val="18"/>
  </w:num>
  <w:num w:numId="7" w16cid:durableId="2007125529">
    <w:abstractNumId w:val="20"/>
  </w:num>
  <w:num w:numId="8" w16cid:durableId="1073888593">
    <w:abstractNumId w:val="8"/>
  </w:num>
  <w:num w:numId="9" w16cid:durableId="945431508">
    <w:abstractNumId w:val="31"/>
  </w:num>
  <w:num w:numId="10" w16cid:durableId="702905184">
    <w:abstractNumId w:val="29"/>
  </w:num>
  <w:num w:numId="11" w16cid:durableId="2028823298">
    <w:abstractNumId w:val="0"/>
  </w:num>
  <w:num w:numId="12" w16cid:durableId="777140563">
    <w:abstractNumId w:val="30"/>
  </w:num>
  <w:num w:numId="13" w16cid:durableId="646395934">
    <w:abstractNumId w:val="21"/>
  </w:num>
  <w:num w:numId="14" w16cid:durableId="1283927377">
    <w:abstractNumId w:val="38"/>
  </w:num>
  <w:num w:numId="15" w16cid:durableId="1044674609">
    <w:abstractNumId w:val="26"/>
  </w:num>
  <w:num w:numId="16" w16cid:durableId="2115781103">
    <w:abstractNumId w:val="17"/>
  </w:num>
  <w:num w:numId="17" w16cid:durableId="2100518369">
    <w:abstractNumId w:val="22"/>
  </w:num>
  <w:num w:numId="18" w16cid:durableId="66346497">
    <w:abstractNumId w:val="10"/>
  </w:num>
  <w:num w:numId="19" w16cid:durableId="668018931">
    <w:abstractNumId w:val="15"/>
  </w:num>
  <w:num w:numId="20" w16cid:durableId="388655848">
    <w:abstractNumId w:val="5"/>
  </w:num>
  <w:num w:numId="21" w16cid:durableId="1219627651">
    <w:abstractNumId w:val="36"/>
  </w:num>
  <w:num w:numId="22" w16cid:durableId="1952937187">
    <w:abstractNumId w:val="2"/>
  </w:num>
  <w:num w:numId="23" w16cid:durableId="1213274403">
    <w:abstractNumId w:val="37"/>
  </w:num>
  <w:num w:numId="24" w16cid:durableId="556473742">
    <w:abstractNumId w:val="25"/>
  </w:num>
  <w:num w:numId="25" w16cid:durableId="809324227">
    <w:abstractNumId w:val="27"/>
  </w:num>
  <w:num w:numId="26" w16cid:durableId="1295478952">
    <w:abstractNumId w:val="23"/>
  </w:num>
  <w:num w:numId="27" w16cid:durableId="1495297466">
    <w:abstractNumId w:val="32"/>
  </w:num>
  <w:num w:numId="28" w16cid:durableId="1317799522">
    <w:abstractNumId w:val="6"/>
  </w:num>
  <w:num w:numId="29" w16cid:durableId="2082093086">
    <w:abstractNumId w:val="24"/>
  </w:num>
  <w:num w:numId="30" w16cid:durableId="1857108863">
    <w:abstractNumId w:val="33"/>
  </w:num>
  <w:num w:numId="31" w16cid:durableId="1297494871">
    <w:abstractNumId w:val="11"/>
  </w:num>
  <w:num w:numId="32" w16cid:durableId="128479011">
    <w:abstractNumId w:val="16"/>
  </w:num>
  <w:num w:numId="33" w16cid:durableId="1526476624">
    <w:abstractNumId w:val="35"/>
  </w:num>
  <w:num w:numId="34" w16cid:durableId="1391423982">
    <w:abstractNumId w:val="13"/>
  </w:num>
  <w:num w:numId="35" w16cid:durableId="1659188924">
    <w:abstractNumId w:val="3"/>
  </w:num>
  <w:num w:numId="36" w16cid:durableId="1347757551">
    <w:abstractNumId w:val="28"/>
  </w:num>
  <w:num w:numId="37" w16cid:durableId="1829787385">
    <w:abstractNumId w:val="12"/>
  </w:num>
  <w:num w:numId="38" w16cid:durableId="1987279440">
    <w:abstractNumId w:val="9"/>
  </w:num>
  <w:num w:numId="39" w16cid:durableId="1111047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A"/>
    <w:rsid w:val="000027AE"/>
    <w:rsid w:val="00012008"/>
    <w:rsid w:val="00014ABF"/>
    <w:rsid w:val="0001665C"/>
    <w:rsid w:val="00017F1B"/>
    <w:rsid w:val="00022546"/>
    <w:rsid w:val="00031B51"/>
    <w:rsid w:val="00042D11"/>
    <w:rsid w:val="0005314F"/>
    <w:rsid w:val="000562BE"/>
    <w:rsid w:val="00061D58"/>
    <w:rsid w:val="00067D0E"/>
    <w:rsid w:val="0007201E"/>
    <w:rsid w:val="00072CC9"/>
    <w:rsid w:val="00076207"/>
    <w:rsid w:val="00077D47"/>
    <w:rsid w:val="00080727"/>
    <w:rsid w:val="00080CAE"/>
    <w:rsid w:val="00082F7D"/>
    <w:rsid w:val="000838A8"/>
    <w:rsid w:val="000852B7"/>
    <w:rsid w:val="00091144"/>
    <w:rsid w:val="000928DF"/>
    <w:rsid w:val="000A05E8"/>
    <w:rsid w:val="000A1314"/>
    <w:rsid w:val="000B1483"/>
    <w:rsid w:val="000B6C90"/>
    <w:rsid w:val="000D1599"/>
    <w:rsid w:val="000D4F26"/>
    <w:rsid w:val="000D5830"/>
    <w:rsid w:val="000E026E"/>
    <w:rsid w:val="000E2444"/>
    <w:rsid w:val="000E75FD"/>
    <w:rsid w:val="000F0769"/>
    <w:rsid w:val="000F2E71"/>
    <w:rsid w:val="00101045"/>
    <w:rsid w:val="00103049"/>
    <w:rsid w:val="00111297"/>
    <w:rsid w:val="001150B7"/>
    <w:rsid w:val="001230C1"/>
    <w:rsid w:val="0012772C"/>
    <w:rsid w:val="00132223"/>
    <w:rsid w:val="00137965"/>
    <w:rsid w:val="00145A83"/>
    <w:rsid w:val="00145B9B"/>
    <w:rsid w:val="00146FE0"/>
    <w:rsid w:val="00154ABA"/>
    <w:rsid w:val="00157650"/>
    <w:rsid w:val="001611F0"/>
    <w:rsid w:val="00165ADB"/>
    <w:rsid w:val="00170754"/>
    <w:rsid w:val="00170BF0"/>
    <w:rsid w:val="00172600"/>
    <w:rsid w:val="00174C24"/>
    <w:rsid w:val="00182F2D"/>
    <w:rsid w:val="00183DCD"/>
    <w:rsid w:val="001876FF"/>
    <w:rsid w:val="00194513"/>
    <w:rsid w:val="001B173A"/>
    <w:rsid w:val="001B5E4C"/>
    <w:rsid w:val="001B7057"/>
    <w:rsid w:val="001C59B8"/>
    <w:rsid w:val="001C6121"/>
    <w:rsid w:val="001D001C"/>
    <w:rsid w:val="001D177B"/>
    <w:rsid w:val="001D64BA"/>
    <w:rsid w:val="001E28CF"/>
    <w:rsid w:val="001E2D49"/>
    <w:rsid w:val="001E7D59"/>
    <w:rsid w:val="001F122B"/>
    <w:rsid w:val="001F1BEE"/>
    <w:rsid w:val="001F2AE8"/>
    <w:rsid w:val="001F49CB"/>
    <w:rsid w:val="001F5CC2"/>
    <w:rsid w:val="002013BE"/>
    <w:rsid w:val="00206160"/>
    <w:rsid w:val="0021792F"/>
    <w:rsid w:val="0023221D"/>
    <w:rsid w:val="002416F6"/>
    <w:rsid w:val="00241D1B"/>
    <w:rsid w:val="0024512F"/>
    <w:rsid w:val="00245966"/>
    <w:rsid w:val="00250270"/>
    <w:rsid w:val="00254711"/>
    <w:rsid w:val="00255784"/>
    <w:rsid w:val="002562E0"/>
    <w:rsid w:val="00262A3E"/>
    <w:rsid w:val="00271043"/>
    <w:rsid w:val="00271341"/>
    <w:rsid w:val="0027235C"/>
    <w:rsid w:val="00274F10"/>
    <w:rsid w:val="00276288"/>
    <w:rsid w:val="0027710A"/>
    <w:rsid w:val="0028338A"/>
    <w:rsid w:val="00283C23"/>
    <w:rsid w:val="00284920"/>
    <w:rsid w:val="00285481"/>
    <w:rsid w:val="00285F71"/>
    <w:rsid w:val="0028698F"/>
    <w:rsid w:val="00287FE3"/>
    <w:rsid w:val="00290A67"/>
    <w:rsid w:val="002920DA"/>
    <w:rsid w:val="002A7B17"/>
    <w:rsid w:val="002B0B12"/>
    <w:rsid w:val="002B459A"/>
    <w:rsid w:val="002B59E3"/>
    <w:rsid w:val="002B67E4"/>
    <w:rsid w:val="002B6AFC"/>
    <w:rsid w:val="002D059F"/>
    <w:rsid w:val="002D7AB0"/>
    <w:rsid w:val="002F2BE7"/>
    <w:rsid w:val="002F3DBC"/>
    <w:rsid w:val="002F7570"/>
    <w:rsid w:val="002F7769"/>
    <w:rsid w:val="00316284"/>
    <w:rsid w:val="003249B0"/>
    <w:rsid w:val="00325DEF"/>
    <w:rsid w:val="00334F10"/>
    <w:rsid w:val="0033603E"/>
    <w:rsid w:val="00343F40"/>
    <w:rsid w:val="00350E14"/>
    <w:rsid w:val="00354BE9"/>
    <w:rsid w:val="00356173"/>
    <w:rsid w:val="0036067F"/>
    <w:rsid w:val="003622D8"/>
    <w:rsid w:val="0036416F"/>
    <w:rsid w:val="00374937"/>
    <w:rsid w:val="00381516"/>
    <w:rsid w:val="00381B62"/>
    <w:rsid w:val="003908F9"/>
    <w:rsid w:val="003A2FA2"/>
    <w:rsid w:val="003A597A"/>
    <w:rsid w:val="003A6234"/>
    <w:rsid w:val="003B44CF"/>
    <w:rsid w:val="003C0DF0"/>
    <w:rsid w:val="003C5382"/>
    <w:rsid w:val="003D75E1"/>
    <w:rsid w:val="003E1710"/>
    <w:rsid w:val="003F0F0A"/>
    <w:rsid w:val="003F23BD"/>
    <w:rsid w:val="003F529D"/>
    <w:rsid w:val="003F6A0D"/>
    <w:rsid w:val="00404947"/>
    <w:rsid w:val="00404D2E"/>
    <w:rsid w:val="00407ADF"/>
    <w:rsid w:val="0041469A"/>
    <w:rsid w:val="00427A93"/>
    <w:rsid w:val="00427F73"/>
    <w:rsid w:val="004328A9"/>
    <w:rsid w:val="00433204"/>
    <w:rsid w:val="00435A96"/>
    <w:rsid w:val="00450E95"/>
    <w:rsid w:val="00451609"/>
    <w:rsid w:val="00452840"/>
    <w:rsid w:val="004751D3"/>
    <w:rsid w:val="00476755"/>
    <w:rsid w:val="00487824"/>
    <w:rsid w:val="00492B45"/>
    <w:rsid w:val="0049636F"/>
    <w:rsid w:val="004B7B53"/>
    <w:rsid w:val="004C0211"/>
    <w:rsid w:val="004C1422"/>
    <w:rsid w:val="004C40E0"/>
    <w:rsid w:val="004C415B"/>
    <w:rsid w:val="004C6843"/>
    <w:rsid w:val="004C6A72"/>
    <w:rsid w:val="004D54A5"/>
    <w:rsid w:val="004D5C6C"/>
    <w:rsid w:val="004F145E"/>
    <w:rsid w:val="00501C2C"/>
    <w:rsid w:val="0051078F"/>
    <w:rsid w:val="00512169"/>
    <w:rsid w:val="00514104"/>
    <w:rsid w:val="005164AB"/>
    <w:rsid w:val="00526338"/>
    <w:rsid w:val="00545257"/>
    <w:rsid w:val="00546F6B"/>
    <w:rsid w:val="005520B3"/>
    <w:rsid w:val="0055617F"/>
    <w:rsid w:val="0056495A"/>
    <w:rsid w:val="00565C68"/>
    <w:rsid w:val="005668BD"/>
    <w:rsid w:val="00566F34"/>
    <w:rsid w:val="00583108"/>
    <w:rsid w:val="00583B29"/>
    <w:rsid w:val="005973AF"/>
    <w:rsid w:val="005A46E9"/>
    <w:rsid w:val="005B7818"/>
    <w:rsid w:val="005D073D"/>
    <w:rsid w:val="005E18B2"/>
    <w:rsid w:val="005E1A7D"/>
    <w:rsid w:val="005F0DF9"/>
    <w:rsid w:val="00621E93"/>
    <w:rsid w:val="00622A78"/>
    <w:rsid w:val="00625A7F"/>
    <w:rsid w:val="00634AC1"/>
    <w:rsid w:val="00635544"/>
    <w:rsid w:val="006453B7"/>
    <w:rsid w:val="00650ED9"/>
    <w:rsid w:val="006523D1"/>
    <w:rsid w:val="0065411B"/>
    <w:rsid w:val="0065460E"/>
    <w:rsid w:val="00656470"/>
    <w:rsid w:val="00667BCC"/>
    <w:rsid w:val="0067767A"/>
    <w:rsid w:val="006932F1"/>
    <w:rsid w:val="00697E89"/>
    <w:rsid w:val="006A12DB"/>
    <w:rsid w:val="006A2C95"/>
    <w:rsid w:val="006A7078"/>
    <w:rsid w:val="006B05B9"/>
    <w:rsid w:val="006B597F"/>
    <w:rsid w:val="006D41BB"/>
    <w:rsid w:val="006D45A2"/>
    <w:rsid w:val="006D6287"/>
    <w:rsid w:val="006D73B2"/>
    <w:rsid w:val="006E0A80"/>
    <w:rsid w:val="006E2592"/>
    <w:rsid w:val="006E68E4"/>
    <w:rsid w:val="006F4AD1"/>
    <w:rsid w:val="00703676"/>
    <w:rsid w:val="007062A8"/>
    <w:rsid w:val="00706E03"/>
    <w:rsid w:val="00720087"/>
    <w:rsid w:val="0072057C"/>
    <w:rsid w:val="00722877"/>
    <w:rsid w:val="00731016"/>
    <w:rsid w:val="007376D6"/>
    <w:rsid w:val="00743F2C"/>
    <w:rsid w:val="00750CC4"/>
    <w:rsid w:val="007554A9"/>
    <w:rsid w:val="007729D2"/>
    <w:rsid w:val="00774EC7"/>
    <w:rsid w:val="007817D6"/>
    <w:rsid w:val="007833E0"/>
    <w:rsid w:val="00784403"/>
    <w:rsid w:val="007953BC"/>
    <w:rsid w:val="007A2630"/>
    <w:rsid w:val="007A43A4"/>
    <w:rsid w:val="007B3900"/>
    <w:rsid w:val="007B48B7"/>
    <w:rsid w:val="007B4C50"/>
    <w:rsid w:val="007C62C8"/>
    <w:rsid w:val="007C7785"/>
    <w:rsid w:val="007D2368"/>
    <w:rsid w:val="007D6161"/>
    <w:rsid w:val="007D7F69"/>
    <w:rsid w:val="007E0876"/>
    <w:rsid w:val="007E79F3"/>
    <w:rsid w:val="007F6D55"/>
    <w:rsid w:val="007F6DC6"/>
    <w:rsid w:val="00801FD7"/>
    <w:rsid w:val="00804DA6"/>
    <w:rsid w:val="008102BC"/>
    <w:rsid w:val="00821B4F"/>
    <w:rsid w:val="00830F5E"/>
    <w:rsid w:val="00834246"/>
    <w:rsid w:val="00834378"/>
    <w:rsid w:val="008467A9"/>
    <w:rsid w:val="00856C12"/>
    <w:rsid w:val="00860F95"/>
    <w:rsid w:val="00872E27"/>
    <w:rsid w:val="00874CA3"/>
    <w:rsid w:val="00877D3E"/>
    <w:rsid w:val="00890444"/>
    <w:rsid w:val="00890762"/>
    <w:rsid w:val="008962C9"/>
    <w:rsid w:val="008A3B28"/>
    <w:rsid w:val="008B1374"/>
    <w:rsid w:val="008B6638"/>
    <w:rsid w:val="008C1CDF"/>
    <w:rsid w:val="008C5358"/>
    <w:rsid w:val="008D0424"/>
    <w:rsid w:val="008D32FD"/>
    <w:rsid w:val="008D7E37"/>
    <w:rsid w:val="008E12B2"/>
    <w:rsid w:val="008E582B"/>
    <w:rsid w:val="008F6653"/>
    <w:rsid w:val="00902BE4"/>
    <w:rsid w:val="00912B13"/>
    <w:rsid w:val="00912EBF"/>
    <w:rsid w:val="0092074C"/>
    <w:rsid w:val="0092548C"/>
    <w:rsid w:val="00933746"/>
    <w:rsid w:val="00941A14"/>
    <w:rsid w:val="009613F8"/>
    <w:rsid w:val="00961BB4"/>
    <w:rsid w:val="00971F04"/>
    <w:rsid w:val="0097633E"/>
    <w:rsid w:val="00985B77"/>
    <w:rsid w:val="00985EAF"/>
    <w:rsid w:val="00990267"/>
    <w:rsid w:val="00996390"/>
    <w:rsid w:val="009A5CF7"/>
    <w:rsid w:val="009C06DE"/>
    <w:rsid w:val="009D3684"/>
    <w:rsid w:val="009D74AD"/>
    <w:rsid w:val="009E1C01"/>
    <w:rsid w:val="009E4219"/>
    <w:rsid w:val="009F7A7F"/>
    <w:rsid w:val="00A1273E"/>
    <w:rsid w:val="00A32E17"/>
    <w:rsid w:val="00A3389E"/>
    <w:rsid w:val="00A34A80"/>
    <w:rsid w:val="00A36173"/>
    <w:rsid w:val="00A42EA4"/>
    <w:rsid w:val="00A4334C"/>
    <w:rsid w:val="00A433B9"/>
    <w:rsid w:val="00A6372E"/>
    <w:rsid w:val="00A67793"/>
    <w:rsid w:val="00A75DD4"/>
    <w:rsid w:val="00A76D7A"/>
    <w:rsid w:val="00A77620"/>
    <w:rsid w:val="00A8389E"/>
    <w:rsid w:val="00A86C58"/>
    <w:rsid w:val="00A90673"/>
    <w:rsid w:val="00A93885"/>
    <w:rsid w:val="00A9540D"/>
    <w:rsid w:val="00AA4B1C"/>
    <w:rsid w:val="00AA55F4"/>
    <w:rsid w:val="00AA77FE"/>
    <w:rsid w:val="00AC4B61"/>
    <w:rsid w:val="00AD2DAA"/>
    <w:rsid w:val="00AE136C"/>
    <w:rsid w:val="00AE247D"/>
    <w:rsid w:val="00AE28D6"/>
    <w:rsid w:val="00AF283D"/>
    <w:rsid w:val="00B03660"/>
    <w:rsid w:val="00B04360"/>
    <w:rsid w:val="00B04454"/>
    <w:rsid w:val="00B05227"/>
    <w:rsid w:val="00B1163A"/>
    <w:rsid w:val="00B1195D"/>
    <w:rsid w:val="00B14596"/>
    <w:rsid w:val="00B23367"/>
    <w:rsid w:val="00B30D8D"/>
    <w:rsid w:val="00B33892"/>
    <w:rsid w:val="00B368DC"/>
    <w:rsid w:val="00B36C8F"/>
    <w:rsid w:val="00B44975"/>
    <w:rsid w:val="00B46A5D"/>
    <w:rsid w:val="00B66B59"/>
    <w:rsid w:val="00B75EE2"/>
    <w:rsid w:val="00B817E4"/>
    <w:rsid w:val="00B9418C"/>
    <w:rsid w:val="00BA0273"/>
    <w:rsid w:val="00BB4BCC"/>
    <w:rsid w:val="00BB55D3"/>
    <w:rsid w:val="00BC52D1"/>
    <w:rsid w:val="00BC68B0"/>
    <w:rsid w:val="00BD0E7A"/>
    <w:rsid w:val="00BE6BB6"/>
    <w:rsid w:val="00C045F3"/>
    <w:rsid w:val="00C13680"/>
    <w:rsid w:val="00C1708E"/>
    <w:rsid w:val="00C27246"/>
    <w:rsid w:val="00C52E98"/>
    <w:rsid w:val="00C55BC2"/>
    <w:rsid w:val="00C64E41"/>
    <w:rsid w:val="00C65C91"/>
    <w:rsid w:val="00C73136"/>
    <w:rsid w:val="00C73E06"/>
    <w:rsid w:val="00C74286"/>
    <w:rsid w:val="00C87C6C"/>
    <w:rsid w:val="00C9448F"/>
    <w:rsid w:val="00C975E7"/>
    <w:rsid w:val="00CA3EC2"/>
    <w:rsid w:val="00CB141E"/>
    <w:rsid w:val="00CB652D"/>
    <w:rsid w:val="00CB6959"/>
    <w:rsid w:val="00CD004C"/>
    <w:rsid w:val="00CD5A97"/>
    <w:rsid w:val="00CF3CB6"/>
    <w:rsid w:val="00CF51D4"/>
    <w:rsid w:val="00CF5DF1"/>
    <w:rsid w:val="00D033E2"/>
    <w:rsid w:val="00D0720A"/>
    <w:rsid w:val="00D10C7B"/>
    <w:rsid w:val="00D15829"/>
    <w:rsid w:val="00D30F02"/>
    <w:rsid w:val="00D36977"/>
    <w:rsid w:val="00D37ED3"/>
    <w:rsid w:val="00D45477"/>
    <w:rsid w:val="00D529EB"/>
    <w:rsid w:val="00D6408C"/>
    <w:rsid w:val="00D672AC"/>
    <w:rsid w:val="00D706A9"/>
    <w:rsid w:val="00D74E11"/>
    <w:rsid w:val="00D7590B"/>
    <w:rsid w:val="00D75FF6"/>
    <w:rsid w:val="00D814ED"/>
    <w:rsid w:val="00D84B9D"/>
    <w:rsid w:val="00D90319"/>
    <w:rsid w:val="00DA7291"/>
    <w:rsid w:val="00DB5A0C"/>
    <w:rsid w:val="00DC059C"/>
    <w:rsid w:val="00DC37C9"/>
    <w:rsid w:val="00DD310B"/>
    <w:rsid w:val="00DE40C9"/>
    <w:rsid w:val="00DE5435"/>
    <w:rsid w:val="00DE5C66"/>
    <w:rsid w:val="00DF378D"/>
    <w:rsid w:val="00DF3C07"/>
    <w:rsid w:val="00E047A1"/>
    <w:rsid w:val="00E139C0"/>
    <w:rsid w:val="00E16804"/>
    <w:rsid w:val="00E238C7"/>
    <w:rsid w:val="00E32959"/>
    <w:rsid w:val="00E37C9C"/>
    <w:rsid w:val="00E46100"/>
    <w:rsid w:val="00E53058"/>
    <w:rsid w:val="00E6253B"/>
    <w:rsid w:val="00E66007"/>
    <w:rsid w:val="00E66F27"/>
    <w:rsid w:val="00E74DF3"/>
    <w:rsid w:val="00E775B4"/>
    <w:rsid w:val="00E84B86"/>
    <w:rsid w:val="00E84E86"/>
    <w:rsid w:val="00E85397"/>
    <w:rsid w:val="00E87133"/>
    <w:rsid w:val="00E872F1"/>
    <w:rsid w:val="00E87CA6"/>
    <w:rsid w:val="00E90A6D"/>
    <w:rsid w:val="00E938A5"/>
    <w:rsid w:val="00E9394E"/>
    <w:rsid w:val="00E97363"/>
    <w:rsid w:val="00EB088C"/>
    <w:rsid w:val="00EB3D2D"/>
    <w:rsid w:val="00EC27D5"/>
    <w:rsid w:val="00EC6412"/>
    <w:rsid w:val="00ED1B05"/>
    <w:rsid w:val="00ED26C1"/>
    <w:rsid w:val="00EE60FD"/>
    <w:rsid w:val="00EE7864"/>
    <w:rsid w:val="00EF7121"/>
    <w:rsid w:val="00EF7B1B"/>
    <w:rsid w:val="00EF7C7D"/>
    <w:rsid w:val="00F00BA0"/>
    <w:rsid w:val="00F103FF"/>
    <w:rsid w:val="00F1047E"/>
    <w:rsid w:val="00F10DEE"/>
    <w:rsid w:val="00F125FE"/>
    <w:rsid w:val="00F13837"/>
    <w:rsid w:val="00F148C2"/>
    <w:rsid w:val="00F177AD"/>
    <w:rsid w:val="00F24C4F"/>
    <w:rsid w:val="00F36846"/>
    <w:rsid w:val="00F40F6D"/>
    <w:rsid w:val="00F44197"/>
    <w:rsid w:val="00F46C7F"/>
    <w:rsid w:val="00F471A7"/>
    <w:rsid w:val="00F529CB"/>
    <w:rsid w:val="00F53893"/>
    <w:rsid w:val="00F6401F"/>
    <w:rsid w:val="00F67284"/>
    <w:rsid w:val="00F72B00"/>
    <w:rsid w:val="00F80197"/>
    <w:rsid w:val="00F8716A"/>
    <w:rsid w:val="00F902C7"/>
    <w:rsid w:val="00F9699D"/>
    <w:rsid w:val="00FB2F0D"/>
    <w:rsid w:val="00FB392E"/>
    <w:rsid w:val="00FB57C0"/>
    <w:rsid w:val="00FB692A"/>
    <w:rsid w:val="00FC30D4"/>
    <w:rsid w:val="00FD0CEC"/>
    <w:rsid w:val="00FD3D37"/>
    <w:rsid w:val="00FE69D2"/>
    <w:rsid w:val="00FF10B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4421"/>
  <w15:chartTrackingRefBased/>
  <w15:docId w15:val="{D555EC63-09BA-40A3-8926-9806EDB0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6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BA"/>
    <w:rPr>
      <w:rFonts w:eastAsiaTheme="majorEastAsia" w:cstheme="majorBidi"/>
      <w:color w:val="272727" w:themeColor="text1" w:themeTint="D8"/>
    </w:rPr>
  </w:style>
  <w:style w:type="paragraph" w:styleId="Title">
    <w:name w:val="Title"/>
    <w:basedOn w:val="Normal"/>
    <w:next w:val="Normal"/>
    <w:link w:val="TitleChar"/>
    <w:uiPriority w:val="10"/>
    <w:qFormat/>
    <w:rsid w:val="001D6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BA"/>
    <w:pPr>
      <w:spacing w:before="160"/>
      <w:jc w:val="center"/>
    </w:pPr>
    <w:rPr>
      <w:i/>
      <w:iCs/>
      <w:color w:val="404040" w:themeColor="text1" w:themeTint="BF"/>
    </w:rPr>
  </w:style>
  <w:style w:type="character" w:customStyle="1" w:styleId="QuoteChar">
    <w:name w:val="Quote Char"/>
    <w:basedOn w:val="DefaultParagraphFont"/>
    <w:link w:val="Quote"/>
    <w:uiPriority w:val="29"/>
    <w:rsid w:val="001D64BA"/>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qFormat/>
    <w:rsid w:val="001D64BA"/>
    <w:pPr>
      <w:ind w:left="720"/>
      <w:contextualSpacing/>
    </w:pPr>
  </w:style>
  <w:style w:type="character" w:styleId="IntenseEmphasis">
    <w:name w:val="Intense Emphasis"/>
    <w:basedOn w:val="DefaultParagraphFont"/>
    <w:uiPriority w:val="21"/>
    <w:qFormat/>
    <w:rsid w:val="001D64BA"/>
    <w:rPr>
      <w:i/>
      <w:iCs/>
      <w:color w:val="0F4761" w:themeColor="accent1" w:themeShade="BF"/>
    </w:rPr>
  </w:style>
  <w:style w:type="paragraph" w:styleId="IntenseQuote">
    <w:name w:val="Intense Quote"/>
    <w:basedOn w:val="Normal"/>
    <w:next w:val="Normal"/>
    <w:link w:val="IntenseQuoteChar"/>
    <w:uiPriority w:val="30"/>
    <w:qFormat/>
    <w:rsid w:val="001D6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BA"/>
    <w:rPr>
      <w:i/>
      <w:iCs/>
      <w:color w:val="0F4761" w:themeColor="accent1" w:themeShade="BF"/>
    </w:rPr>
  </w:style>
  <w:style w:type="character" w:styleId="IntenseReference">
    <w:name w:val="Intense Reference"/>
    <w:basedOn w:val="DefaultParagraphFont"/>
    <w:uiPriority w:val="32"/>
    <w:qFormat/>
    <w:rsid w:val="001D64BA"/>
    <w:rPr>
      <w:b/>
      <w:bCs/>
      <w:smallCaps/>
      <w:color w:val="0F4761" w:themeColor="accent1" w:themeShade="BF"/>
      <w:spacing w:val="5"/>
    </w:rPr>
  </w:style>
  <w:style w:type="paragraph" w:styleId="Header">
    <w:name w:val="header"/>
    <w:basedOn w:val="Normal"/>
    <w:link w:val="HeaderChar"/>
    <w:uiPriority w:val="99"/>
    <w:unhideWhenUsed/>
    <w:rsid w:val="00D74E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4E11"/>
  </w:style>
  <w:style w:type="paragraph" w:styleId="Footer">
    <w:name w:val="footer"/>
    <w:basedOn w:val="Normal"/>
    <w:link w:val="FooterChar"/>
    <w:uiPriority w:val="99"/>
    <w:unhideWhenUsed/>
    <w:rsid w:val="00D74E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4E11"/>
  </w:style>
  <w:style w:type="table" w:styleId="TableGrid">
    <w:name w:val="Table Grid"/>
    <w:basedOn w:val="TableNormal"/>
    <w:uiPriority w:val="39"/>
    <w:rsid w:val="00990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06DE"/>
    <w:rPr>
      <w:color w:val="467886" w:themeColor="hyperlink"/>
      <w:u w:val="single"/>
    </w:rPr>
  </w:style>
  <w:style w:type="character" w:styleId="UnresolvedMention">
    <w:name w:val="Unresolved Mention"/>
    <w:basedOn w:val="DefaultParagraphFont"/>
    <w:uiPriority w:val="99"/>
    <w:semiHidden/>
    <w:unhideWhenUsed/>
    <w:rsid w:val="009C06DE"/>
    <w:rPr>
      <w:color w:val="605E5C"/>
      <w:shd w:val="clear" w:color="auto" w:fill="E1DFDD"/>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AE247D"/>
  </w:style>
  <w:style w:type="paragraph" w:styleId="CommentText">
    <w:name w:val="annotation text"/>
    <w:basedOn w:val="Normal"/>
    <w:link w:val="CommentTextChar"/>
    <w:uiPriority w:val="99"/>
    <w:semiHidden/>
    <w:unhideWhenUsed/>
    <w:rsid w:val="006932F1"/>
    <w:pPr>
      <w:spacing w:line="240" w:lineRule="auto"/>
    </w:pPr>
    <w:rPr>
      <w:sz w:val="20"/>
      <w:szCs w:val="20"/>
    </w:rPr>
  </w:style>
  <w:style w:type="character" w:customStyle="1" w:styleId="CommentTextChar">
    <w:name w:val="Comment Text Char"/>
    <w:basedOn w:val="DefaultParagraphFont"/>
    <w:link w:val="CommentText"/>
    <w:uiPriority w:val="99"/>
    <w:semiHidden/>
    <w:rsid w:val="006932F1"/>
    <w:rPr>
      <w:sz w:val="20"/>
      <w:szCs w:val="20"/>
    </w:rPr>
  </w:style>
  <w:style w:type="paragraph" w:styleId="CommentSubject">
    <w:name w:val="annotation subject"/>
    <w:basedOn w:val="CommentText"/>
    <w:next w:val="CommentText"/>
    <w:link w:val="CommentSubjectChar"/>
    <w:uiPriority w:val="99"/>
    <w:semiHidden/>
    <w:unhideWhenUsed/>
    <w:rsid w:val="006932F1"/>
    <w:rPr>
      <w:b/>
      <w:bCs/>
      <w:kern w:val="0"/>
      <w:lang w:val="en-GB"/>
      <w14:ligatures w14:val="none"/>
    </w:rPr>
  </w:style>
  <w:style w:type="character" w:customStyle="1" w:styleId="CommentSubjectChar">
    <w:name w:val="Comment Subject Char"/>
    <w:basedOn w:val="CommentTextChar"/>
    <w:link w:val="CommentSubject"/>
    <w:uiPriority w:val="99"/>
    <w:semiHidden/>
    <w:rsid w:val="006932F1"/>
    <w:rPr>
      <w:b/>
      <w:bCs/>
      <w:kern w:val="0"/>
      <w:sz w:val="20"/>
      <w:szCs w:val="20"/>
      <w:lang w:val="en-GB"/>
      <w14:ligatures w14:val="none"/>
    </w:rPr>
  </w:style>
  <w:style w:type="paragraph" w:styleId="FootnoteText">
    <w:name w:val="footnote text"/>
    <w:basedOn w:val="Normal"/>
    <w:link w:val="FootnoteTextChar"/>
    <w:uiPriority w:val="99"/>
    <w:semiHidden/>
    <w:unhideWhenUsed/>
    <w:rsid w:val="006546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60E"/>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rsid w:val="0065460E"/>
    <w:rPr>
      <w:vertAlign w:val="superscript"/>
    </w:rPr>
  </w:style>
  <w:style w:type="character" w:styleId="FollowedHyperlink">
    <w:name w:val="FollowedHyperlink"/>
    <w:basedOn w:val="DefaultParagraphFont"/>
    <w:uiPriority w:val="99"/>
    <w:semiHidden/>
    <w:unhideWhenUsed/>
    <w:rsid w:val="00DE5435"/>
    <w:rPr>
      <w:color w:val="96607D" w:themeColor="followedHyperlink"/>
      <w:u w:val="single"/>
    </w:rPr>
  </w:style>
  <w:style w:type="table" w:customStyle="1" w:styleId="Reatabula1">
    <w:name w:val="Režģa tabula1"/>
    <w:basedOn w:val="TableNormal"/>
    <w:next w:val="TableGrid"/>
    <w:uiPriority w:val="39"/>
    <w:rsid w:val="002F757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rsid w:val="001876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74A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6C7F"/>
    <w:pPr>
      <w:autoSpaceDE w:val="0"/>
      <w:autoSpaceDN w:val="0"/>
      <w:adjustRightInd w:val="0"/>
      <w:spacing w:after="0" w:line="240" w:lineRule="auto"/>
    </w:pPr>
    <w:rPr>
      <w:rFonts w:ascii="NewsGoth Cn TL" w:eastAsia="Calibri" w:hAnsi="NewsGoth Cn TL" w:cs="NewsGoth Cn TL"/>
      <w:color w:val="000000"/>
      <w:kern w:val="0"/>
      <w:sz w:val="24"/>
      <w:szCs w:val="24"/>
      <w14:ligatures w14:val="none"/>
    </w:rPr>
  </w:style>
  <w:style w:type="paragraph" w:customStyle="1" w:styleId="CharCharCharChar">
    <w:name w:val="Char Char Char Char"/>
    <w:aliases w:val="Char2"/>
    <w:basedOn w:val="Normal"/>
    <w:next w:val="Normal"/>
    <w:link w:val="FootnoteReference"/>
    <w:rsid w:val="008962C9"/>
    <w:pPr>
      <w:spacing w:line="240" w:lineRule="exact"/>
      <w:jc w:val="both"/>
      <w:textAlignment w:val="baseline"/>
    </w:pPr>
    <w:rPr>
      <w:vertAlign w:val="superscript"/>
    </w:rPr>
  </w:style>
  <w:style w:type="paragraph" w:customStyle="1" w:styleId="tv213">
    <w:name w:val="tv213"/>
    <w:basedOn w:val="Normal"/>
    <w:rsid w:val="008962C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eli/reg/2014/651/oj/?locale=LV" TargetMode="External"/><Relationship Id="rId1" Type="http://schemas.openxmlformats.org/officeDocument/2006/relationships/hyperlink" Target="https://likumi.lv/ta/id/349180-eiropas-savienibas-kohezijas-politikas-programmas-2021-2027-gadam-1-1-1-specifiska-atbalsta-merka-petniecibas-un-inovaciju-k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34D3C-D3E5-48EF-9354-25F0F3D71725}">
  <ds:schemaRefs>
    <ds:schemaRef ds:uri="http://schemas.microsoft.com/sharepoint/v3/contenttype/forms"/>
  </ds:schemaRefs>
</ds:datastoreItem>
</file>

<file path=customXml/itemProps2.xml><?xml version="1.0" encoding="utf-8"?>
<ds:datastoreItem xmlns:ds="http://schemas.openxmlformats.org/officeDocument/2006/customXml" ds:itemID="{4C013CF3-9269-4D32-A605-E49DA1C8B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F2AAF-EC22-4C05-8BAC-0EC1BBB5E8EA}">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4.xml><?xml version="1.0" encoding="utf-8"?>
<ds:datastoreItem xmlns:ds="http://schemas.openxmlformats.org/officeDocument/2006/customXml" ds:itemID="{9DDF9398-A354-4537-AC65-1D21AA89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11194</Words>
  <Characters>6381</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Kajaka-Kargane</dc:creator>
  <cp:keywords/>
  <dc:description/>
  <cp:lastModifiedBy>Baiba Kajaka-Kargane</cp:lastModifiedBy>
  <cp:revision>6</cp:revision>
  <dcterms:created xsi:type="dcterms:W3CDTF">2026-04-27T06:52:00Z</dcterms:created>
  <dcterms:modified xsi:type="dcterms:W3CDTF">2026-04-27T08:12:00Z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