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8F7D5" w14:textId="77777777" w:rsidR="0018419A" w:rsidRDefault="008E5ED2">
      <w:pPr>
        <w:spacing w:after="0"/>
        <w:jc w:val="right"/>
      </w:pPr>
      <w:r>
        <w:t>4. pielikums</w:t>
      </w:r>
    </w:p>
    <w:p w14:paraId="22D8A59C" w14:textId="04AAF21D" w:rsidR="0018419A" w:rsidRDefault="008E5ED2">
      <w:pPr>
        <w:spacing w:after="0" w:line="240" w:lineRule="auto"/>
        <w:jc w:val="right"/>
      </w:pPr>
      <w:r>
        <w:t>Fundamentālo un lietišķo pētījumu 2020. gada zinātnieku individuālo projektu iesniegumu atklātā konkursa nolikumam (</w:t>
      </w:r>
      <w:r w:rsidR="000945FC">
        <w:rPr>
          <w:u w:val="single"/>
        </w:rPr>
        <w:t>07</w:t>
      </w:r>
      <w:r>
        <w:rPr>
          <w:u w:val="single"/>
        </w:rPr>
        <w:t>.09.2020.</w:t>
      </w:r>
      <w:r>
        <w:t>)</w:t>
      </w:r>
    </w:p>
    <w:p w14:paraId="6C5615A1" w14:textId="77777777" w:rsidR="0018419A" w:rsidRDefault="0018419A">
      <w:pPr>
        <w:spacing w:after="0" w:line="240" w:lineRule="auto"/>
        <w:jc w:val="right"/>
      </w:pPr>
    </w:p>
    <w:p w14:paraId="3D88B806" w14:textId="77777777" w:rsidR="0018419A" w:rsidRDefault="008E5ED2">
      <w:pPr>
        <w:pStyle w:val="Heading1"/>
        <w:rPr>
          <w:b/>
          <w:sz w:val="24"/>
          <w:szCs w:val="24"/>
        </w:rPr>
      </w:pPr>
      <w:r>
        <w:rPr>
          <w:b/>
          <w:sz w:val="24"/>
          <w:szCs w:val="24"/>
        </w:rPr>
        <w:t>Metodika projekta iesnieguma atbilstības izvērtēšanai administratīvās atbilstības kritērijiem</w:t>
      </w:r>
    </w:p>
    <w:p w14:paraId="4108A5CE" w14:textId="77777777" w:rsidR="0018419A" w:rsidRDefault="0018419A">
      <w:pPr>
        <w:spacing w:after="0"/>
      </w:pPr>
    </w:p>
    <w:p w14:paraId="03CDB1B2" w14:textId="70B5A530" w:rsidR="0018419A" w:rsidRDefault="008E5ED2">
      <w:pPr>
        <w:spacing w:after="0" w:line="240" w:lineRule="auto"/>
        <w:ind w:firstLine="720"/>
      </w:pPr>
      <w:r>
        <w:t>1. Metodika izstrādāta, ievērojot Ministru kabineta 2017. gada 12. decembra noteikumus Nr. 725 “Fundamentālo un lietišķo pētījumu projektu izvērtēšanas un finans</w:t>
      </w:r>
      <w:r>
        <w:t xml:space="preserve">ējuma administrēšanas kārtība” (turpmāk – MK noteikumi) un Latvijas Zinātnes padomes (turpmāk - padomes) 2020. gada </w:t>
      </w:r>
      <w:r w:rsidR="000945FC">
        <w:t>07</w:t>
      </w:r>
      <w:r>
        <w:t>. septembrī apstiprināto “Fundamentālo un lietišķo pētījumu 2020. gada zinātnieku individuālo projektu iesniegumu atklātā konkursa nolikum</w:t>
      </w:r>
      <w:r>
        <w:t>u” (turpmāk – nolikums).</w:t>
      </w:r>
    </w:p>
    <w:p w14:paraId="0526B5AF" w14:textId="77777777" w:rsidR="0018419A" w:rsidRDefault="008E5ED2">
      <w:pPr>
        <w:spacing w:after="0" w:line="240" w:lineRule="auto"/>
        <w:ind w:firstLine="720"/>
      </w:pPr>
      <w:bookmarkStart w:id="0" w:name="_heading=h.gjdgxs" w:colFirst="0" w:colLast="0"/>
      <w:bookmarkEnd w:id="0"/>
      <w:r>
        <w:t>2. Pēc projektu iesniegumu iesniegšanas termiņa notecējuma padome veic projekta iesnieguma administratīvās atbilstības kritēriju pārbaudi saskaņā ar MK noteikumu 12. punktu, aizpildot nolikuma 3. pielikumu “Projekta iesnieguma admi</w:t>
      </w:r>
      <w:r>
        <w:t>nistratīvās atbilstības vērtēšanas veidlapa” (turpmāk – administratīvā izvērtējuma veidlapa).</w:t>
      </w:r>
    </w:p>
    <w:p w14:paraId="3914C102" w14:textId="77777777" w:rsidR="0018419A" w:rsidRDefault="008E5ED2">
      <w:pPr>
        <w:spacing w:after="0" w:line="240" w:lineRule="auto"/>
        <w:ind w:firstLine="720"/>
      </w:pPr>
      <w:r>
        <w:t>3. Ekspertu komisija, ņemot vērā projekta iesnieguma A daļu “Vispārīgā informācija”, kurā projekta iesniedzējs norādījis prioritāro/-os virzienu/-us zinātnē, izvē</w:t>
      </w:r>
      <w:r>
        <w:t>rtē projekta iesnieguma atbilstību tiem saskaņā ar MK noteikumu 13. punktu un nolikuma 32.-35. punktu.</w:t>
      </w:r>
    </w:p>
    <w:p w14:paraId="6C3D39AC" w14:textId="77777777" w:rsidR="0018419A" w:rsidRDefault="008E5ED2">
      <w:pPr>
        <w:spacing w:after="0" w:line="240" w:lineRule="auto"/>
        <w:ind w:firstLine="720"/>
      </w:pPr>
      <w:r>
        <w:t>4. Ekspertu komisija izvērtē katra projekta iesnieguma atbilstību šādiem prioritārajiem virzieniem zinātnē atbilstoši Ministru kabineta 2017. gada 13. de</w:t>
      </w:r>
      <w:r>
        <w:t>cembra rīkojumam Nr. 746 “Par prioritārajiem virzieniem zinātnē 2018.-2021. gadā”:</w:t>
      </w:r>
    </w:p>
    <w:p w14:paraId="03DA746C" w14:textId="77777777" w:rsidR="0018419A" w:rsidRDefault="008E5ED2">
      <w:pPr>
        <w:pBdr>
          <w:top w:val="nil"/>
          <w:left w:val="nil"/>
          <w:bottom w:val="nil"/>
          <w:right w:val="nil"/>
          <w:between w:val="nil"/>
        </w:pBdr>
        <w:spacing w:after="0" w:line="240" w:lineRule="auto"/>
        <w:ind w:firstLine="720"/>
        <w:rPr>
          <w:color w:val="000000"/>
        </w:rPr>
      </w:pPr>
      <w:r>
        <w:rPr>
          <w:color w:val="000000"/>
        </w:rPr>
        <w:t>4.1. Tehnoloģijas, materiāli un inženiersistēmas produktu un procesu pievienotās vērtības palielināšanai un kiberdrošībai;</w:t>
      </w:r>
    </w:p>
    <w:p w14:paraId="6EB10D4D" w14:textId="77777777" w:rsidR="0018419A" w:rsidRDefault="008E5ED2">
      <w:pPr>
        <w:pBdr>
          <w:top w:val="nil"/>
          <w:left w:val="nil"/>
          <w:bottom w:val="nil"/>
          <w:right w:val="nil"/>
          <w:between w:val="nil"/>
        </w:pBdr>
        <w:spacing w:after="0" w:line="240" w:lineRule="auto"/>
        <w:ind w:firstLine="720"/>
        <w:rPr>
          <w:color w:val="000000"/>
        </w:rPr>
      </w:pPr>
      <w:r>
        <w:rPr>
          <w:color w:val="000000"/>
        </w:rPr>
        <w:t>4.2. Energoapgādes drošuma stiprināšana, enerģētik</w:t>
      </w:r>
      <w:r>
        <w:rPr>
          <w:color w:val="000000"/>
        </w:rPr>
        <w:t>as sektora attīstība, energoefektivitāte, ilgtspējīgs transports;</w:t>
      </w:r>
    </w:p>
    <w:p w14:paraId="19583A69" w14:textId="77777777" w:rsidR="0018419A" w:rsidRDefault="008E5ED2">
      <w:pPr>
        <w:pBdr>
          <w:top w:val="nil"/>
          <w:left w:val="nil"/>
          <w:bottom w:val="nil"/>
          <w:right w:val="nil"/>
          <w:between w:val="nil"/>
        </w:pBdr>
        <w:spacing w:after="0" w:line="240" w:lineRule="auto"/>
        <w:ind w:left="709" w:hanging="360"/>
      </w:pPr>
      <w:r>
        <w:rPr>
          <w:color w:val="000000"/>
        </w:rPr>
        <w:tab/>
        <w:t>4.3. Klimata pārmaiņas, dabas aizsardzība un vide;</w:t>
      </w:r>
    </w:p>
    <w:p w14:paraId="68C5964C" w14:textId="77777777" w:rsidR="0018419A" w:rsidRDefault="008E5ED2">
      <w:pPr>
        <w:pBdr>
          <w:top w:val="nil"/>
          <w:left w:val="nil"/>
          <w:bottom w:val="nil"/>
          <w:right w:val="nil"/>
          <w:between w:val="nil"/>
        </w:pBdr>
        <w:spacing w:after="0" w:line="240" w:lineRule="auto"/>
        <w:ind w:firstLine="720"/>
        <w:rPr>
          <w:color w:val="000000"/>
        </w:rPr>
      </w:pPr>
      <w:r>
        <w:t xml:space="preserve">4.4. </w:t>
      </w:r>
      <w:r>
        <w:rPr>
          <w:color w:val="000000"/>
        </w:rPr>
        <w:t>Vietējo dabas resursu izpēte un ilgtspējīga izmantošana uz zināšanām balstītas bioekonomikas attīstībai;</w:t>
      </w:r>
    </w:p>
    <w:p w14:paraId="7F23DEBC" w14:textId="77777777" w:rsidR="0018419A" w:rsidRDefault="008E5ED2">
      <w:pPr>
        <w:pBdr>
          <w:top w:val="nil"/>
          <w:left w:val="nil"/>
          <w:bottom w:val="nil"/>
          <w:right w:val="nil"/>
          <w:between w:val="nil"/>
        </w:pBdr>
        <w:spacing w:after="0" w:line="240" w:lineRule="auto"/>
        <w:ind w:left="709" w:hanging="360"/>
        <w:rPr>
          <w:color w:val="000000"/>
        </w:rPr>
      </w:pPr>
      <w:r>
        <w:rPr>
          <w:color w:val="000000"/>
        </w:rPr>
        <w:t>4.5. Latvijas valstiskums, valoda un vērtības, kultūra un māksla;</w:t>
      </w:r>
    </w:p>
    <w:p w14:paraId="1E24DF8A" w14:textId="77777777" w:rsidR="0018419A" w:rsidRDefault="008E5ED2">
      <w:pPr>
        <w:pBdr>
          <w:top w:val="nil"/>
          <w:left w:val="nil"/>
          <w:bottom w:val="nil"/>
          <w:right w:val="nil"/>
          <w:between w:val="nil"/>
        </w:pBdr>
        <w:spacing w:after="0" w:line="240" w:lineRule="auto"/>
        <w:ind w:left="709" w:hanging="360"/>
        <w:rPr>
          <w:color w:val="000000"/>
        </w:rPr>
      </w:pPr>
      <w:r>
        <w:rPr>
          <w:color w:val="000000"/>
        </w:rPr>
        <w:t>4.6. Sabiedrības veselība;</w:t>
      </w:r>
    </w:p>
    <w:p w14:paraId="07A073BF" w14:textId="77777777" w:rsidR="0018419A" w:rsidRDefault="008E5ED2">
      <w:pPr>
        <w:pBdr>
          <w:top w:val="nil"/>
          <w:left w:val="nil"/>
          <w:bottom w:val="nil"/>
          <w:right w:val="nil"/>
          <w:between w:val="nil"/>
        </w:pBdr>
        <w:spacing w:after="0" w:line="240" w:lineRule="auto"/>
        <w:ind w:left="709" w:hanging="360"/>
        <w:rPr>
          <w:color w:val="000000"/>
        </w:rPr>
      </w:pPr>
      <w:r>
        <w:rPr>
          <w:color w:val="000000"/>
        </w:rPr>
        <w:t>4.7. Zināšanu kultūra un inovācijas ekonomiskajai ilgtspēj</w:t>
      </w:r>
      <w:r>
        <w:rPr>
          <w:color w:val="000000"/>
        </w:rPr>
        <w:t>ai;</w:t>
      </w:r>
    </w:p>
    <w:p w14:paraId="31852C39" w14:textId="77777777" w:rsidR="0018419A" w:rsidRDefault="008E5ED2">
      <w:pPr>
        <w:pBdr>
          <w:top w:val="nil"/>
          <w:left w:val="nil"/>
          <w:bottom w:val="nil"/>
          <w:right w:val="nil"/>
          <w:between w:val="nil"/>
        </w:pBdr>
        <w:spacing w:after="0" w:line="240" w:lineRule="auto"/>
        <w:ind w:left="709" w:hanging="360"/>
        <w:rPr>
          <w:color w:val="000000"/>
        </w:rPr>
      </w:pPr>
      <w:r>
        <w:rPr>
          <w:color w:val="000000"/>
        </w:rPr>
        <w:t>4.8. Demogrāfija, sports, atvērta un iekļaujoša sabiedrība, labklājība un sociālā drošumspēja;</w:t>
      </w:r>
    </w:p>
    <w:p w14:paraId="5CFE4545" w14:textId="77777777" w:rsidR="0018419A" w:rsidRDefault="008E5ED2">
      <w:pPr>
        <w:pBdr>
          <w:top w:val="nil"/>
          <w:left w:val="nil"/>
          <w:bottom w:val="nil"/>
          <w:right w:val="nil"/>
          <w:between w:val="nil"/>
        </w:pBdr>
        <w:spacing w:after="0" w:line="240" w:lineRule="auto"/>
        <w:ind w:left="709" w:hanging="360"/>
        <w:rPr>
          <w:color w:val="000000"/>
        </w:rPr>
      </w:pPr>
      <w:r>
        <w:rPr>
          <w:color w:val="000000"/>
        </w:rPr>
        <w:t>4.9. Valsts un sabiedrības drošība un aizsardzība.</w:t>
      </w:r>
    </w:p>
    <w:p w14:paraId="21B45B9C" w14:textId="77777777" w:rsidR="0018419A" w:rsidRDefault="0018419A">
      <w:pPr>
        <w:spacing w:after="0" w:line="240" w:lineRule="auto"/>
      </w:pPr>
    </w:p>
    <w:p w14:paraId="1F2B2699" w14:textId="77777777" w:rsidR="0018419A" w:rsidRDefault="008E5ED2">
      <w:pPr>
        <w:pBdr>
          <w:top w:val="nil"/>
          <w:left w:val="nil"/>
          <w:bottom w:val="nil"/>
          <w:right w:val="nil"/>
          <w:between w:val="nil"/>
        </w:pBdr>
        <w:spacing w:after="0" w:line="240" w:lineRule="auto"/>
        <w:ind w:firstLine="720"/>
        <w:rPr>
          <w:color w:val="000000"/>
        </w:rPr>
      </w:pPr>
      <w:r>
        <w:rPr>
          <w:color w:val="000000"/>
        </w:rPr>
        <w:t>5. Ekspertu komisija, vērtējot atbilstību, izmanto Izglītības un zinātnes ministrijas pētījuma “Par prior</w:t>
      </w:r>
      <w:r>
        <w:rPr>
          <w:color w:val="000000"/>
        </w:rPr>
        <w:t xml:space="preserve">itārajiem virzieniem zinātnē 2018.-2021. gadā” kopsavilkumu </w:t>
      </w:r>
      <w:hyperlink r:id="rId8">
        <w:r>
          <w:rPr>
            <w:color w:val="0563C1"/>
            <w:u w:val="single"/>
          </w:rPr>
          <w:t>http://www.izm.gov.lv/images/zinatne/IZMkops_priorit_virz_2017.pdf</w:t>
        </w:r>
      </w:hyperlink>
      <w:r>
        <w:rPr>
          <w:color w:val="0563C1"/>
          <w:u w:val="single"/>
        </w:rPr>
        <w:t>)</w:t>
      </w:r>
      <w:r>
        <w:rPr>
          <w:color w:val="000000"/>
        </w:rPr>
        <w:t xml:space="preserve"> .</w:t>
      </w:r>
    </w:p>
    <w:p w14:paraId="55747487" w14:textId="77777777" w:rsidR="0018419A" w:rsidRDefault="0018419A">
      <w:pPr>
        <w:pBdr>
          <w:top w:val="nil"/>
          <w:left w:val="nil"/>
          <w:bottom w:val="nil"/>
          <w:right w:val="nil"/>
          <w:between w:val="nil"/>
        </w:pBdr>
        <w:spacing w:after="0" w:line="240" w:lineRule="auto"/>
        <w:ind w:left="1070" w:hanging="360"/>
        <w:rPr>
          <w:color w:val="000000"/>
        </w:rPr>
      </w:pPr>
    </w:p>
    <w:p w14:paraId="6FA73AAD" w14:textId="77777777" w:rsidR="0018419A" w:rsidRDefault="008E5ED2">
      <w:pPr>
        <w:pBdr>
          <w:top w:val="nil"/>
          <w:left w:val="nil"/>
          <w:bottom w:val="nil"/>
          <w:right w:val="nil"/>
          <w:between w:val="nil"/>
        </w:pBdr>
        <w:spacing w:after="0" w:line="240" w:lineRule="auto"/>
        <w:ind w:hanging="360"/>
        <w:rPr>
          <w:color w:val="000000"/>
        </w:rPr>
      </w:pPr>
      <w:r>
        <w:rPr>
          <w:color w:val="000000"/>
        </w:rPr>
        <w:tab/>
      </w:r>
      <w:r>
        <w:rPr>
          <w:color w:val="000000"/>
        </w:rPr>
        <w:tab/>
      </w:r>
      <w:r>
        <w:rPr>
          <w:color w:val="000000"/>
        </w:rPr>
        <w:t>6. Atzinumu par projekta iesnieguma atbilstību tajā norādītajiem prioritārajam (-iem) zinātnes virzienam (-iem) ekspertu komisija nodod padomei.</w:t>
      </w:r>
    </w:p>
    <w:p w14:paraId="7D8304AB" w14:textId="77777777" w:rsidR="0018419A" w:rsidRDefault="0018419A">
      <w:pPr>
        <w:pBdr>
          <w:top w:val="nil"/>
          <w:left w:val="nil"/>
          <w:bottom w:val="nil"/>
          <w:right w:val="nil"/>
          <w:between w:val="nil"/>
        </w:pBdr>
        <w:spacing w:after="0" w:line="240" w:lineRule="auto"/>
        <w:ind w:left="1070" w:hanging="360"/>
        <w:rPr>
          <w:color w:val="000000"/>
        </w:rPr>
      </w:pPr>
    </w:p>
    <w:p w14:paraId="2656FDD9" w14:textId="77777777" w:rsidR="0018419A" w:rsidRDefault="008E5ED2">
      <w:pPr>
        <w:spacing w:after="0" w:line="240" w:lineRule="auto"/>
        <w:ind w:firstLine="720"/>
      </w:pPr>
      <w:r>
        <w:t xml:space="preserve">7. Administratīvā izvērtējuma veidlapu padome aizpilda, pie katra kritērija norādot, vai tas ir izpildīts. Ja </w:t>
      </w:r>
      <w:r>
        <w:t>kritērijs ir izpildīts, norāda “Jā”, savukārt, ja kritērijs nav izpildīts, norāda “Nē”.</w:t>
      </w:r>
    </w:p>
    <w:p w14:paraId="72552CB2" w14:textId="77777777" w:rsidR="0018419A" w:rsidRDefault="008E5ED2">
      <w:pPr>
        <w:spacing w:after="0" w:line="240" w:lineRule="auto"/>
        <w:ind w:firstLine="720"/>
      </w:pPr>
      <w:r>
        <w:t>8. Ja par kādu kritēriju tiek norādīts “Nē”, administratīvā izvērtējuma veidlapas stabiņā “Atbilstības pārbaude” norāda, kāpēc kritērijs nav izpildīts.</w:t>
      </w:r>
    </w:p>
    <w:tbl>
      <w:tblPr>
        <w:tblStyle w:val="a0"/>
        <w:tblW w:w="9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0"/>
        <w:gridCol w:w="3255"/>
        <w:gridCol w:w="4965"/>
        <w:gridCol w:w="885"/>
      </w:tblGrid>
      <w:tr w:rsidR="0018419A" w14:paraId="70CE7C15" w14:textId="77777777">
        <w:tc>
          <w:tcPr>
            <w:tcW w:w="720" w:type="dxa"/>
          </w:tcPr>
          <w:p w14:paraId="48A091B7"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Nr. p.k.</w:t>
            </w:r>
          </w:p>
        </w:tc>
        <w:tc>
          <w:tcPr>
            <w:tcW w:w="3255" w:type="dxa"/>
          </w:tcPr>
          <w:p w14:paraId="5302E66E"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rPr>
            </w:pPr>
            <w:r>
              <w:rPr>
                <w:b/>
              </w:rPr>
              <w:t>Adminis</w:t>
            </w:r>
            <w:r>
              <w:rPr>
                <w:b/>
              </w:rPr>
              <w:t>tratīvās atbilstības kritērijs</w:t>
            </w:r>
          </w:p>
          <w:p w14:paraId="314EF8B5"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i/>
              </w:rPr>
            </w:pPr>
            <w:r>
              <w:rPr>
                <w:i/>
              </w:rPr>
              <w:t>Atbilstoši MK noteikumu 12. punktam</w:t>
            </w:r>
          </w:p>
        </w:tc>
        <w:tc>
          <w:tcPr>
            <w:tcW w:w="4965" w:type="dxa"/>
          </w:tcPr>
          <w:p w14:paraId="3DA7FD10"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b/>
              </w:rPr>
            </w:pPr>
            <w:r>
              <w:rPr>
                <w:b/>
              </w:rPr>
              <w:t>Atbilstības pārbaude</w:t>
            </w:r>
          </w:p>
          <w:p w14:paraId="70A42953"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i/>
              </w:rPr>
            </w:pPr>
            <w:r>
              <w:rPr>
                <w:i/>
              </w:rPr>
              <w:t>Visu kritēriju atbilstības pārbaudi veic, ievērojot šādus nosacījumus</w:t>
            </w:r>
          </w:p>
        </w:tc>
        <w:tc>
          <w:tcPr>
            <w:tcW w:w="885" w:type="dxa"/>
          </w:tcPr>
          <w:p w14:paraId="64D23F2D"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r>
              <w:rPr>
                <w:color w:val="000000"/>
              </w:rPr>
              <w:t>Jā/Nē</w:t>
            </w:r>
          </w:p>
        </w:tc>
      </w:tr>
      <w:tr w:rsidR="0018419A" w14:paraId="063EC087" w14:textId="77777777">
        <w:tc>
          <w:tcPr>
            <w:tcW w:w="720" w:type="dxa"/>
          </w:tcPr>
          <w:p w14:paraId="3C7B308F"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1.</w:t>
            </w:r>
          </w:p>
        </w:tc>
        <w:tc>
          <w:tcPr>
            <w:tcW w:w="3255" w:type="dxa"/>
          </w:tcPr>
          <w:p w14:paraId="5D02AC66"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rPr>
              <w:t>projekta iesniegums ir pilnībā aizpildīts, noformēts un iesniegts, izmantojot informācijas sistēmu</w:t>
            </w:r>
            <w:r>
              <w:rPr>
                <w:i/>
              </w:rPr>
              <w:t xml:space="preserve"> (MK </w:t>
            </w:r>
            <w:r>
              <w:rPr>
                <w:i/>
              </w:rPr>
              <w:lastRenderedPageBreak/>
              <w:t>noteikumu 12.1. apakšpunkts)</w:t>
            </w:r>
          </w:p>
        </w:tc>
        <w:tc>
          <w:tcPr>
            <w:tcW w:w="4965" w:type="dxa"/>
          </w:tcPr>
          <w:p w14:paraId="4A9CA5B6"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rPr>
            </w:pPr>
            <w:r>
              <w:rPr>
                <w:i/>
              </w:rPr>
              <w:lastRenderedPageBreak/>
              <w:t>Padome pārbauda, vai projekta iesniegums ir iesniegts Nacionālajā zinātniskās darbības informācijas sistēmā (turpmāk – infor</w:t>
            </w:r>
            <w:r>
              <w:rPr>
                <w:i/>
              </w:rPr>
              <w:t xml:space="preserve">mācijas sistēma) līdz konkursa sludinājumā norādītā </w:t>
            </w:r>
            <w:r>
              <w:rPr>
                <w:i/>
              </w:rPr>
              <w:lastRenderedPageBreak/>
              <w:t>projektu iesniegumu iesniegšanas termiņa beigām. Ir iesniegts projekta iesniegums, aizpildītas visas nepieciešamās sadaļas atbilstoši nolikuma 2. pielikumam “Projekta iesnieguma, projekta vidusposma zināt</w:t>
            </w:r>
            <w:r>
              <w:rPr>
                <w:i/>
              </w:rPr>
              <w:t>niskā pārskata, projekta noslēguma zinātniskā pārskata un projekta finanšu pārskata noformēšanas un iesniegšanas metodika” (turpmāk – iesniegšanas metodika).</w:t>
            </w:r>
          </w:p>
          <w:p w14:paraId="768E1D17"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rPr>
            </w:pPr>
            <w:r>
              <w:rPr>
                <w:i/>
              </w:rPr>
              <w:t>Visi apliecinājumi (projekta pieteikuma D daļa “Projekta iesniedzēja apliecinājums” un E daļa “Pro</w:t>
            </w:r>
            <w:r>
              <w:rPr>
                <w:i/>
              </w:rPr>
              <w:t xml:space="preserve">jekta sadarbības partnera apliecinājums”) ir izstrādāti atbilstoši iesniegšanas metodikas 3.1. un 3.2. apakšnodaļai, parakstīti ar zinātnisko institūciju vadības drošu elektronisko parakstu vai nogādāti padomē līdz projektu iesniegumu iesniegšanas termiņa </w:t>
            </w:r>
            <w:r>
              <w:rPr>
                <w:i/>
              </w:rPr>
              <w:t>beigām, kas noteikts nolikuma 4. punktā.</w:t>
            </w:r>
          </w:p>
        </w:tc>
        <w:tc>
          <w:tcPr>
            <w:tcW w:w="885" w:type="dxa"/>
          </w:tcPr>
          <w:p w14:paraId="44FF03BA"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r w:rsidR="0018419A" w14:paraId="223E9A20" w14:textId="77777777">
        <w:tc>
          <w:tcPr>
            <w:tcW w:w="720" w:type="dxa"/>
          </w:tcPr>
          <w:p w14:paraId="306CB93C"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2.</w:t>
            </w:r>
          </w:p>
        </w:tc>
        <w:tc>
          <w:tcPr>
            <w:tcW w:w="3255" w:type="dxa"/>
          </w:tcPr>
          <w:p w14:paraId="560B037E"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rPr>
              <w:t>ir iesniegts projekta iesnieguma attiecīgo sadaļu tulkojums angļu valodā atbilstoši konkursa nolikumā izvirzītajām prasībām</w:t>
            </w:r>
            <w:r>
              <w:rPr>
                <w:i/>
              </w:rPr>
              <w:t xml:space="preserve"> (MK noteikumu 12.2. apakšpunkts)</w:t>
            </w:r>
          </w:p>
        </w:tc>
        <w:tc>
          <w:tcPr>
            <w:tcW w:w="4965" w:type="dxa"/>
          </w:tcPr>
          <w:p w14:paraId="7F91EAA9"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rPr>
            </w:pPr>
            <w:r>
              <w:rPr>
                <w:i/>
              </w:rPr>
              <w:t>Padome pārbauda, vai atbilstoši iesniegšanas metodika</w:t>
            </w:r>
            <w:r>
              <w:rPr>
                <w:i/>
              </w:rPr>
              <w:t>s 2. punktam projekta pieteikuma A daļa “Vispārīgā informācija” un tās nodaļas ir aizpildītas latviešu un angļu valodā, B daļa “Projekta apraksts” un C daļa “Curriculum Vitae” ir aizpildītas angļu valodā (projektu iesniedzējam ir tiesības pievienot tulkoju</w:t>
            </w:r>
            <w:r>
              <w:rPr>
                <w:i/>
              </w:rPr>
              <w:t>mu latviešu valodā), savukārt D daļa “Projekta iesniedzēja apliecinājums”, E daļa “Projekta sadarbības partnera apliecinājums”, F daļa “Finanšu apgrozījuma pārskata veidlapa” ir aizpildītas tikai latviešu valodā.</w:t>
            </w:r>
          </w:p>
        </w:tc>
        <w:tc>
          <w:tcPr>
            <w:tcW w:w="885" w:type="dxa"/>
          </w:tcPr>
          <w:p w14:paraId="1BE45932"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r w:rsidR="0018419A" w14:paraId="7EE208EE" w14:textId="77777777">
        <w:tc>
          <w:tcPr>
            <w:tcW w:w="720" w:type="dxa"/>
          </w:tcPr>
          <w:p w14:paraId="56AB71A0"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3.</w:t>
            </w:r>
          </w:p>
        </w:tc>
        <w:tc>
          <w:tcPr>
            <w:tcW w:w="3255" w:type="dxa"/>
          </w:tcPr>
          <w:p w14:paraId="0A32E337"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r>
              <w:rPr>
                <w:b/>
                <w:color w:val="000000"/>
              </w:rPr>
              <w:t>projekta tēma atbilst vienam vai vairākiem Ministru kabineta apstiprinātajiem prioritārajiem zinātnes virzieniem</w:t>
            </w:r>
            <w:r>
              <w:rPr>
                <w:i/>
                <w:color w:val="000000"/>
              </w:rPr>
              <w:t xml:space="preserve"> (MK noteikumu 12.3. apakšpunkts)</w:t>
            </w:r>
          </w:p>
        </w:tc>
        <w:tc>
          <w:tcPr>
            <w:tcW w:w="4965" w:type="dxa"/>
          </w:tcPr>
          <w:p w14:paraId="5D437185"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Padome dod ekspertu komisiju locekļiem pieeju pie projektu iesniegumu A daļas „Vispārīgā informācija” 1. nodaļ</w:t>
            </w:r>
            <w:r>
              <w:rPr>
                <w:i/>
                <w:color w:val="000000"/>
              </w:rPr>
              <w:t xml:space="preserve">as. </w:t>
            </w:r>
          </w:p>
          <w:p w14:paraId="7F66F286"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 xml:space="preserve">Projektu iesniegumi atbilstoši </w:t>
            </w:r>
            <w:r>
              <w:rPr>
                <w:i/>
              </w:rPr>
              <w:t xml:space="preserve">norādītajai pirmajai </w:t>
            </w:r>
            <w:r>
              <w:rPr>
                <w:i/>
                <w:color w:val="000000"/>
              </w:rPr>
              <w:t xml:space="preserve">zinātnes nozarei tiek nosūtīti attiecīgajai ekspertu komisijai. </w:t>
            </w:r>
          </w:p>
          <w:p w14:paraId="2B72FE82"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Ekspertu komisija divu nedēļu laikā kopš nolikumā noteiktā projektu iesniegšanas termiņa beigām sniedz atzinumu par katra projekta ies</w:t>
            </w:r>
            <w:r>
              <w:rPr>
                <w:i/>
                <w:color w:val="000000"/>
              </w:rPr>
              <w:t>nieguma atbilstību tajā norādītajam prioritārajam zinātnes virzienam (-iem).</w:t>
            </w:r>
          </w:p>
          <w:p w14:paraId="759A9691"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 xml:space="preserve">Padome aizpilda šo kritēriju, pamatojoties uz ekspertu padomes atzinumu (šī pielikuma 6.pukts) </w:t>
            </w:r>
          </w:p>
        </w:tc>
        <w:tc>
          <w:tcPr>
            <w:tcW w:w="885" w:type="dxa"/>
          </w:tcPr>
          <w:p w14:paraId="468F349B"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r w:rsidR="0018419A" w14:paraId="0189D624" w14:textId="77777777">
        <w:tc>
          <w:tcPr>
            <w:tcW w:w="720" w:type="dxa"/>
          </w:tcPr>
          <w:p w14:paraId="407D7E82"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4.</w:t>
            </w:r>
          </w:p>
        </w:tc>
        <w:tc>
          <w:tcPr>
            <w:tcW w:w="3255" w:type="dxa"/>
          </w:tcPr>
          <w:p w14:paraId="296B185F"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b/>
                <w:color w:val="000000"/>
              </w:rPr>
              <w:t>ir izpildītas konkursa nolikuma prasības par projekta vadītāja, projekta galve</w:t>
            </w:r>
            <w:r>
              <w:rPr>
                <w:b/>
                <w:color w:val="000000"/>
              </w:rPr>
              <w:t>no izpildītāju un studējošo dalības nosacījumiem</w:t>
            </w:r>
            <w:r>
              <w:rPr>
                <w:i/>
                <w:color w:val="000000"/>
              </w:rPr>
              <w:t xml:space="preserve"> (MK noteikumu 12.4. apakšpunkts)</w:t>
            </w:r>
          </w:p>
          <w:p w14:paraId="0C92B182"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p>
          <w:p w14:paraId="72B07628"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c>
          <w:tcPr>
            <w:tcW w:w="4965" w:type="dxa"/>
          </w:tcPr>
          <w:p w14:paraId="76B1C3A1"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i/>
                <w:color w:val="000000"/>
              </w:rPr>
              <w:t xml:space="preserve">Ievērojot, ka nolikuma 13.punkts nosaka, ka projekta iesniegumā </w:t>
            </w:r>
            <w:r>
              <w:rPr>
                <w:i/>
              </w:rPr>
              <w:t xml:space="preserve">neparedz projekta galvenos izpildītājus, šajā kritērijā tos nevērtē. </w:t>
            </w:r>
          </w:p>
          <w:p w14:paraId="1CAAF54C"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 xml:space="preserve"> Padome pārbauda, vai projekta vadītāj</w:t>
            </w:r>
            <w:r>
              <w:rPr>
                <w:i/>
                <w:color w:val="000000"/>
              </w:rPr>
              <w:t xml:space="preserve">s atbilst prasībām nolikuma III nodaļā, pārbaudot projekta iesnieguma A daļas “Vispārīgā informācija” 2. nodaļā “Zinātniskā grupa” minēto. </w:t>
            </w:r>
          </w:p>
          <w:p w14:paraId="6591172F"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 xml:space="preserve">Atbilstoši MK noteikumu 8. punktam projekta vadītājs var būt norādīts kā projekta vadītājs tikai </w:t>
            </w:r>
            <w:r>
              <w:rPr>
                <w:i/>
                <w:color w:val="000000"/>
              </w:rPr>
              <w:lastRenderedPageBreak/>
              <w:t>vienā projekta iesn</w:t>
            </w:r>
            <w:r>
              <w:rPr>
                <w:i/>
                <w:color w:val="000000"/>
              </w:rPr>
              <w:t>iegumā</w:t>
            </w:r>
            <w:r>
              <w:rPr>
                <w:i/>
              </w:rPr>
              <w:t xml:space="preserve"> </w:t>
            </w:r>
            <w:r>
              <w:rPr>
                <w:i/>
                <w:color w:val="000000"/>
              </w:rPr>
              <w:t>fundamentālo un lietišķo pētījumu projek</w:t>
            </w:r>
            <w:r>
              <w:rPr>
                <w:i/>
              </w:rPr>
              <w:t>tu konkursu ietvaros un piedalīties kā projekta vadītājs ne vairāk kā viena projekta īstenošanā visu konkursu ietvaros (t</w:t>
            </w:r>
            <w:r>
              <w:rPr>
                <w:i/>
                <w:color w:val="000000"/>
              </w:rPr>
              <w:t>ajā skaitā arī 2018., 2019. un 2020. gada konkursos finansētajos projektos, ar nosacījum</w:t>
            </w:r>
            <w:r>
              <w:rPr>
                <w:i/>
                <w:color w:val="000000"/>
              </w:rPr>
              <w:t xml:space="preserve">u, ka tikai tādos projektos, kuru īstenošana </w:t>
            </w:r>
            <w:r>
              <w:rPr>
                <w:b/>
                <w:i/>
                <w:color w:val="000000"/>
              </w:rPr>
              <w:t>turpinās</w:t>
            </w:r>
            <w:r>
              <w:rPr>
                <w:i/>
                <w:color w:val="000000"/>
              </w:rPr>
              <w:t xml:space="preserve"> </w:t>
            </w:r>
            <w:r>
              <w:rPr>
                <w:i/>
              </w:rPr>
              <w:t xml:space="preserve">pēc 2020. gada 1. decembra </w:t>
            </w:r>
            <w:r>
              <w:rPr>
                <w:i/>
                <w:color w:val="000000"/>
              </w:rPr>
              <w:t xml:space="preserve">). </w:t>
            </w:r>
          </w:p>
          <w:p w14:paraId="0A335738"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Ja projekta iesnieg</w:t>
            </w:r>
            <w:r>
              <w:rPr>
                <w:i/>
              </w:rPr>
              <w:t xml:space="preserve">umu iesniegšanas termiņā iesniegumā norādītais projekta vadītājs jau ir cita īstenošanā esoša fundamentālo un lietišķo pētījumu projekta vadītājs, tādā </w:t>
            </w:r>
            <w:r>
              <w:rPr>
                <w:i/>
              </w:rPr>
              <w:t>gadījumā izvērtē, vai īstenošanā esošais projekts būs beidzies līdz 2020. gada 1. decembrim, vai arī, ja īstenošanā esoša projekta īstenotājs ir iesniedzis iesniegumu par projekta vadītāja nomaiņu atbilstoši MK noteikumu 41. punktam, tad pārbauda, vai pado</w:t>
            </w:r>
            <w:r>
              <w:rPr>
                <w:i/>
              </w:rPr>
              <w:t xml:space="preserve">me jau ir devusi apstiprinošu saskaņojumu īstenošanā esošā projekta vadītāja nomaiņai. </w:t>
            </w:r>
          </w:p>
          <w:p w14:paraId="6EA5BD75"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Projekta vadītājs atbilst MK noteikumu 2.3. apakšpunktam.</w:t>
            </w:r>
          </w:p>
          <w:p w14:paraId="67622198"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Projekta vadītājs atbilst vienam no nolikuma 14. punktā noteiktajiem dalības nosacījumiem attiecīgajā zinātnes nozaru grupā, ievērojot nolikuma 22. punktu. Padome pārbauda projekta vadītāja atbilstību, ņemot vērā projekta iesnieguma D daļas “Projekta iesni</w:t>
            </w:r>
            <w:r>
              <w:rPr>
                <w:i/>
                <w:color w:val="000000"/>
              </w:rPr>
              <w:t>edzēja apliecinājums” 10. punktā norādīto informāciju, Scopus vai Web of Science Core Collection datubāzi, kā arī projekta iesnieguma D daļas “Projekta iesniedzēja apliecinājums” pielikumā pievienotos materiālus, ja attiecināms.</w:t>
            </w:r>
          </w:p>
          <w:p w14:paraId="3AAFBA3B" w14:textId="77777777" w:rsidR="0018419A" w:rsidRDefault="008E5ED2">
            <w:pPr>
              <w:spacing w:line="259" w:lineRule="auto"/>
              <w:rPr>
                <w:i/>
              </w:rPr>
            </w:pPr>
            <w:r>
              <w:rPr>
                <w:i/>
              </w:rPr>
              <w:t>Nolikuma 14.punkta ievaddaļ</w:t>
            </w:r>
            <w:r>
              <w:rPr>
                <w:i/>
              </w:rPr>
              <w:t xml:space="preserve">a nosaka, ja projekta vadītājs ir bijis bērna kopšanas atvaļinājumā, tad pārbauda vai  atbilstoši </w:t>
            </w:r>
            <w:r>
              <w:rPr>
                <w:i/>
                <w:color w:val="000000"/>
              </w:rPr>
              <w:t>projekta iesnieguma D daļas “Projekta iesniedzēja apliecinājums” 10. punktā noteiktajam ir pievienot</w:t>
            </w:r>
            <w:r>
              <w:rPr>
                <w:i/>
              </w:rPr>
              <w:t>a</w:t>
            </w:r>
            <w:r>
              <w:rPr>
                <w:i/>
                <w:color w:val="000000"/>
              </w:rPr>
              <w:t xml:space="preserve"> pielikumā </w:t>
            </w:r>
            <w:r>
              <w:rPr>
                <w:i/>
              </w:rPr>
              <w:t>dokumentācija, kas apliecina faktu, ka persona</w:t>
            </w:r>
            <w:r>
              <w:rPr>
                <w:i/>
              </w:rPr>
              <w:t xml:space="preserve"> ir bijusi bērna kopšanas atvaļinājumā attiecīgajā laika periodā.</w:t>
            </w:r>
          </w:p>
          <w:p w14:paraId="02884680" w14:textId="77777777" w:rsidR="0018419A" w:rsidRDefault="008E5ED2">
            <w:pPr>
              <w:spacing w:line="259" w:lineRule="auto"/>
              <w:rPr>
                <w:i/>
              </w:rPr>
            </w:pPr>
            <w:r>
              <w:rPr>
                <w:i/>
              </w:rPr>
              <w:t>Pārbauda, vai projekta iesniegumā nodarbinātie izpildītāji-studējošie nodarbināti kopā vismaz ar 0,5 PLE, un katrs ar vismaz 0,25 PLE, atbilstoši projekta iesnieguma 2. nodaļas datiem.</w:t>
            </w:r>
          </w:p>
        </w:tc>
        <w:tc>
          <w:tcPr>
            <w:tcW w:w="885" w:type="dxa"/>
          </w:tcPr>
          <w:p w14:paraId="4105408A"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r w:rsidR="0018419A" w14:paraId="2F13991A" w14:textId="77777777">
        <w:tc>
          <w:tcPr>
            <w:tcW w:w="720" w:type="dxa"/>
          </w:tcPr>
          <w:p w14:paraId="1FE8CBB1"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5.</w:t>
            </w:r>
          </w:p>
        </w:tc>
        <w:tc>
          <w:tcPr>
            <w:tcW w:w="3255" w:type="dxa"/>
          </w:tcPr>
          <w:p w14:paraId="40DB0A03"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b/>
                <w:color w:val="000000"/>
              </w:rPr>
              <w:t>projekts tiks īstenots zinātniskajā institūcijā, kas atbilst šo noteikumu prasībām</w:t>
            </w:r>
            <w:r>
              <w:rPr>
                <w:i/>
                <w:color w:val="000000"/>
              </w:rPr>
              <w:t xml:space="preserve"> (MK noteikumu 12.5. apakšpunkts)</w:t>
            </w:r>
          </w:p>
          <w:p w14:paraId="2E1BE9B9"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c>
          <w:tcPr>
            <w:tcW w:w="4965" w:type="dxa"/>
          </w:tcPr>
          <w:p w14:paraId="7FE22B14"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Padome pārbauda, vai projekta iesniedzējs atbilst MK noteikumu 2.7. apakšpunktam un vai ir iesniegta projekta iesnieguma D daļa “Projekta i</w:t>
            </w:r>
            <w:r>
              <w:rPr>
                <w:i/>
                <w:color w:val="000000"/>
              </w:rPr>
              <w:t>esniedzēja apliecinājums”.</w:t>
            </w:r>
          </w:p>
          <w:p w14:paraId="229BAC68"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 xml:space="preserve">Padome pārbauda, vai sadarbības partneris, ja tāds ir, atbilst MK noteikumu 7. punktam un 2.7. apakšpunktam un vai ir iesniegta projekta </w:t>
            </w:r>
            <w:r>
              <w:rPr>
                <w:i/>
                <w:color w:val="000000"/>
              </w:rPr>
              <w:lastRenderedPageBreak/>
              <w:t>iesnieguma E daļa “Projekta sadarbības partnera apliecinājums”.</w:t>
            </w:r>
          </w:p>
          <w:p w14:paraId="4931DB49"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Lai apliecinātu atbilstību p</w:t>
            </w:r>
            <w:r>
              <w:rPr>
                <w:i/>
                <w:color w:val="000000"/>
              </w:rPr>
              <w:t>ētniecības organizācijas definīcijai, pārbauda zinātniskās institūcijas iesniegto finanšu vadības un grāmatvedības politiku un finanšu apgrozījuma pārskat</w:t>
            </w:r>
            <w:r>
              <w:rPr>
                <w:i/>
              </w:rPr>
              <w:t>u</w:t>
            </w:r>
            <w:r>
              <w:rPr>
                <w:i/>
                <w:color w:val="000000"/>
              </w:rPr>
              <w:t xml:space="preserve"> (projekta pieteikuma F daļa “Finanšu apgrozījuma pārskata veidlapa”), kā arī, ja zinātniskajai insti</w:t>
            </w:r>
            <w:r>
              <w:rPr>
                <w:i/>
                <w:color w:val="000000"/>
              </w:rPr>
              <w:t>tūcijai ir privātie investori, iesnie</w:t>
            </w:r>
            <w:r>
              <w:rPr>
                <w:i/>
              </w:rPr>
              <w:t>gto</w:t>
            </w:r>
            <w:r>
              <w:rPr>
                <w:i/>
                <w:color w:val="000000"/>
              </w:rPr>
              <w:t xml:space="preserve"> zinātniskās institūcijas apliecinājumu par ar šo projektu saistītās pētniecības rezultātu neizmantošanu komerciāliem mērķiem.</w:t>
            </w:r>
          </w:p>
          <w:p w14:paraId="18B660A1"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Finanšu vadības un grāmatvedības politiku pārbauda, ņemot vērā šādus aspektus:</w:t>
            </w:r>
          </w:p>
          <w:p w14:paraId="27A5C38D" w14:textId="77777777" w:rsidR="0018419A" w:rsidRDefault="008E5ED2">
            <w:pPr>
              <w:widowControl w:val="0"/>
              <w:numPr>
                <w:ilvl w:val="0"/>
                <w:numId w:val="1"/>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01" w:hanging="141"/>
              <w:rPr>
                <w:i/>
                <w:color w:val="000000"/>
              </w:rPr>
            </w:pPr>
            <w:r>
              <w:rPr>
                <w:i/>
                <w:color w:val="000000"/>
              </w:rPr>
              <w:t>tajā ir definētas un aprakstītas institūcijas pamatdarbības, kurām nav saimnieciska rakstura, atbilstoši MK noteikumu 2.2. apakšpunktam;</w:t>
            </w:r>
          </w:p>
          <w:p w14:paraId="1D4BC181" w14:textId="77777777" w:rsidR="0018419A" w:rsidRDefault="008E5ED2">
            <w:pPr>
              <w:widowControl w:val="0"/>
              <w:numPr>
                <w:ilvl w:val="0"/>
                <w:numId w:val="1"/>
              </w:num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601" w:hanging="141"/>
              <w:rPr>
                <w:i/>
                <w:color w:val="000000"/>
              </w:rPr>
            </w:pPr>
            <w:r>
              <w:rPr>
                <w:i/>
                <w:color w:val="000000"/>
              </w:rPr>
              <w:t>tajā ieņēmumu un izdevumu uzskaites dimensijās ir paredzēta minēto pamatdarbību finanšu plūsmu nodalīšana no darbībām a</w:t>
            </w:r>
            <w:r>
              <w:rPr>
                <w:i/>
                <w:color w:val="000000"/>
              </w:rPr>
              <w:t xml:space="preserve">r saimniecisku raksturu. </w:t>
            </w:r>
          </w:p>
          <w:p w14:paraId="7E4B3E10"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rPr>
            </w:pPr>
            <w:r>
              <w:rPr>
                <w:i/>
              </w:rPr>
              <w:t>Projekta pieteikuma F daļā “Finanšu apgrozījuma pārskata veidlapa” sniegtajai informācijai jāatbilst tai, kas sniegta finanšu vadības un grāmatvedības politikā, kā arī iestādes pēdējam apstiprinātajam gada pārskatam. Ja projekta i</w:t>
            </w:r>
            <w:r>
              <w:rPr>
                <w:i/>
              </w:rPr>
              <w:t xml:space="preserve">esniedzējs vai projekta sadarbības partneris </w:t>
            </w:r>
            <w:r>
              <w:rPr>
                <w:i/>
                <w:color w:val="000000"/>
              </w:rPr>
              <w:t>ir atzīts kā atbilstošs pētniecības organizācijas definīcijai Fundamentālo un lietišķo pētījumu projektu 2020. gada atklātajā konkursā vai kādā no valsts pētījumu programmu 2020. gadā izsludinātajiem projektu pi</w:t>
            </w:r>
            <w:r>
              <w:rPr>
                <w:i/>
                <w:color w:val="000000"/>
              </w:rPr>
              <w:t>eteikumu atklātajiem konkursiem, šajā punktā minēto dokumentāciju neiesniedz, un padome to nepārbauda.</w:t>
            </w:r>
          </w:p>
        </w:tc>
        <w:tc>
          <w:tcPr>
            <w:tcW w:w="885" w:type="dxa"/>
          </w:tcPr>
          <w:p w14:paraId="2798E19A"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r w:rsidR="0018419A" w14:paraId="43550AA1" w14:textId="77777777">
        <w:tc>
          <w:tcPr>
            <w:tcW w:w="720" w:type="dxa"/>
          </w:tcPr>
          <w:p w14:paraId="1DE55137"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000000"/>
              </w:rPr>
            </w:pPr>
            <w:r>
              <w:rPr>
                <w:b/>
                <w:color w:val="000000"/>
              </w:rPr>
              <w:t>6.</w:t>
            </w:r>
          </w:p>
        </w:tc>
        <w:tc>
          <w:tcPr>
            <w:tcW w:w="3255" w:type="dxa"/>
          </w:tcPr>
          <w:p w14:paraId="01696B7F"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r>
              <w:rPr>
                <w:b/>
                <w:color w:val="000000"/>
              </w:rPr>
              <w:t>projekta iesniegumā norādītās attiecināmās izmaksas atbilst konkursa nolikumā izvirzītajām prasībām</w:t>
            </w:r>
            <w:r>
              <w:rPr>
                <w:i/>
                <w:color w:val="000000"/>
              </w:rPr>
              <w:t xml:space="preserve"> (MK noteikumu 12.6. apakšpunkts)</w:t>
            </w:r>
          </w:p>
        </w:tc>
        <w:tc>
          <w:tcPr>
            <w:tcW w:w="4965" w:type="dxa"/>
          </w:tcPr>
          <w:p w14:paraId="444DA9AC" w14:textId="77777777" w:rsidR="0018419A" w:rsidRDefault="008E5E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000000"/>
              </w:rPr>
            </w:pPr>
            <w:r>
              <w:rPr>
                <w:i/>
                <w:color w:val="000000"/>
              </w:rPr>
              <w:t>Padome pārbauda</w:t>
            </w:r>
            <w:r>
              <w:rPr>
                <w:i/>
                <w:color w:val="000000"/>
              </w:rPr>
              <w:t>, vai projekta pieteikuma A daļas “Vispārīgā informācija” 4. nodaļā “Projekta budžets” norādītās izmaksu pozīcijas atbilst nolikuma 18. punkta prasībām un vai projekta netiešās attiecināmās izmaksas ir atbilstošas nolikuma 18.2. apakšpunktam</w:t>
            </w:r>
          </w:p>
        </w:tc>
        <w:tc>
          <w:tcPr>
            <w:tcW w:w="885" w:type="dxa"/>
          </w:tcPr>
          <w:p w14:paraId="727310B6" w14:textId="77777777" w:rsidR="0018419A" w:rsidRDefault="001841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rPr>
            </w:pPr>
          </w:p>
        </w:tc>
      </w:tr>
    </w:tbl>
    <w:p w14:paraId="3085ADB6" w14:textId="77777777" w:rsidR="0018419A" w:rsidRDefault="0018419A">
      <w:pPr>
        <w:spacing w:after="0" w:line="240" w:lineRule="auto"/>
      </w:pPr>
    </w:p>
    <w:p w14:paraId="1365F630" w14:textId="77777777" w:rsidR="0018419A" w:rsidRDefault="0018419A">
      <w:pPr>
        <w:spacing w:after="0" w:line="240" w:lineRule="auto"/>
        <w:jc w:val="right"/>
      </w:pPr>
    </w:p>
    <w:p w14:paraId="49A24576" w14:textId="77777777" w:rsidR="0018419A" w:rsidRDefault="0018419A">
      <w:pPr>
        <w:spacing w:after="0" w:line="240" w:lineRule="auto"/>
        <w:jc w:val="left"/>
      </w:pPr>
    </w:p>
    <w:sectPr w:rsidR="0018419A">
      <w:headerReference w:type="default" r:id="rId9"/>
      <w:footerReference w:type="default" r:id="rId10"/>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71612" w14:textId="77777777" w:rsidR="008E5ED2" w:rsidRDefault="008E5ED2">
      <w:pPr>
        <w:spacing w:after="0" w:line="240" w:lineRule="auto"/>
      </w:pPr>
      <w:r>
        <w:separator/>
      </w:r>
    </w:p>
  </w:endnote>
  <w:endnote w:type="continuationSeparator" w:id="0">
    <w:p w14:paraId="696FFB90" w14:textId="77777777" w:rsidR="008E5ED2" w:rsidRDefault="008E5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56FC2" w14:textId="77777777" w:rsidR="0018419A" w:rsidRDefault="008E5ED2">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sidR="000945FC">
      <w:rPr>
        <w:color w:val="000000"/>
      </w:rPr>
      <w:fldChar w:fldCharType="separate"/>
    </w:r>
    <w:r w:rsidR="000945FC">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127A8" w14:textId="77777777" w:rsidR="008E5ED2" w:rsidRDefault="008E5ED2">
      <w:pPr>
        <w:spacing w:after="0" w:line="240" w:lineRule="auto"/>
      </w:pPr>
      <w:r>
        <w:separator/>
      </w:r>
    </w:p>
  </w:footnote>
  <w:footnote w:type="continuationSeparator" w:id="0">
    <w:p w14:paraId="6C9FB5D7" w14:textId="77777777" w:rsidR="008E5ED2" w:rsidRDefault="008E5E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7D940" w14:textId="77777777" w:rsidR="0018419A" w:rsidRDefault="0018419A">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bookmarkStart w:id="1" w:name="_heading=h.30j0zll" w:colFirst="0" w:colLast="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B95C98"/>
    <w:multiLevelType w:val="multilevel"/>
    <w:tmpl w:val="E0EA0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B9E185C"/>
    <w:multiLevelType w:val="multilevel"/>
    <w:tmpl w:val="8C12EF96"/>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19A"/>
    <w:rsid w:val="000945FC"/>
    <w:rsid w:val="0018419A"/>
    <w:rsid w:val="008E5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0FE81"/>
  <w15:docId w15:val="{51079D22-FD1A-47A3-A45C-B3C309FF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v-LV"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style>
  <w:style w:type="paragraph" w:styleId="Heading1">
    <w:name w:val="heading 1"/>
    <w:basedOn w:val="Normal"/>
    <w:next w:val="Normal"/>
    <w:link w:val="Heading1Char"/>
    <w:uiPriority w:val="9"/>
    <w:qFormat/>
    <w:rsid w:val="0013549D"/>
    <w:pPr>
      <w:keepNext/>
      <w:spacing w:after="0" w:line="240" w:lineRule="auto"/>
      <w:jc w:val="center"/>
      <w:outlineLvl w:val="0"/>
    </w:pPr>
    <w:rPr>
      <w:rFonts w:eastAsiaTheme="majorEastAsia" w:cstheme="majorBidi"/>
      <w:bCs/>
      <w:kern w:val="32"/>
      <w:sz w:val="28"/>
      <w:szCs w:val="28"/>
    </w:rPr>
  </w:style>
  <w:style w:type="paragraph" w:styleId="Heading2">
    <w:name w:val="heading 2"/>
    <w:basedOn w:val="Normal"/>
    <w:next w:val="Normal"/>
    <w:link w:val="Heading2Char"/>
    <w:uiPriority w:val="9"/>
    <w:semiHidden/>
    <w:unhideWhenUsed/>
    <w:qFormat/>
    <w:rsid w:val="00984EA5"/>
    <w:pPr>
      <w:keepNext/>
      <w:keepLines/>
      <w:spacing w:after="0" w:line="240" w:lineRule="auto"/>
      <w:jc w:val="center"/>
      <w:outlineLvl w:val="1"/>
    </w:pPr>
    <w:rPr>
      <w:rFonts w:eastAsiaTheme="majorEastAsia" w:cstheme="majorBidi"/>
      <w:b/>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13549D"/>
    <w:rPr>
      <w:rFonts w:ascii="Times New Roman" w:eastAsiaTheme="majorEastAsia" w:hAnsi="Times New Roman" w:cstheme="majorBidi"/>
      <w:bCs/>
      <w:kern w:val="32"/>
      <w:sz w:val="28"/>
      <w:szCs w:val="28"/>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6A5036"/>
    <w:pPr>
      <w:numPr>
        <w:numId w:val="2"/>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m.gov.lv/images/zinatne/IZMkops_priorit_virz_20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G4NOGJUmpxgVmGbeFbeh+y7zRA==">AMUW2mVrK5CYTmhe8H/shQeC+2vQGEyHpA0Aw04Tu8m3Cppx4K5xt6npdqfjAIcXECSTeenqlLPf9EyGep+/up59TA/U443nCS6g1Y09n3Dr4X8RD4VTyfBTRx4jugJ9S31gbPWOq8aGlcTy52+zgId8ktse2OXeY79hH2iphmYgbyf9mbhKNd6jTL9x5kmM+NNjWb2uTp40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1562</Words>
  <Characters>8908</Characters>
  <Application>Microsoft Office Word</Application>
  <DocSecurity>0</DocSecurity>
  <Lines>74</Lines>
  <Paragraphs>20</Paragraphs>
  <ScaleCrop>false</ScaleCrop>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LZP LZP</cp:lastModifiedBy>
  <cp:revision>3</cp:revision>
  <dcterms:created xsi:type="dcterms:W3CDTF">2020-09-04T07:12:00Z</dcterms:created>
  <dcterms:modified xsi:type="dcterms:W3CDTF">2020-09-07T06:41:00Z</dcterms:modified>
</cp:coreProperties>
</file>