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8FE14AA" w:rsidR="007102A2" w:rsidRPr="007102A2" w:rsidRDefault="006A169F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11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45A6D123" w14:textId="77777777" w:rsidR="00BF50F0" w:rsidRPr="00BF50F0" w:rsidRDefault="00BF50F0" w:rsidP="00BF50F0">
      <w:pPr>
        <w:jc w:val="right"/>
        <w:rPr>
          <w:rFonts w:ascii="Times New Roman" w:hAnsi="Times New Roman"/>
          <w:lang w:val="lv-LV"/>
        </w:rPr>
      </w:pPr>
      <w:r w:rsidRPr="00BF50F0">
        <w:rPr>
          <w:rFonts w:ascii="Times New Roman" w:hAnsi="Times New Roman"/>
          <w:lang w:val="lv-LV"/>
        </w:rPr>
        <w:t>Valsts pētījumu programmas</w:t>
      </w:r>
    </w:p>
    <w:p w14:paraId="2BB20375" w14:textId="77777777" w:rsidR="00BF50F0" w:rsidRPr="00BF50F0" w:rsidRDefault="00BF50F0" w:rsidP="00BF50F0">
      <w:pPr>
        <w:jc w:val="right"/>
        <w:rPr>
          <w:rFonts w:ascii="Times New Roman" w:hAnsi="Times New Roman"/>
          <w:lang w:val="lv-LV"/>
        </w:rPr>
      </w:pPr>
      <w:r w:rsidRPr="00BF50F0">
        <w:rPr>
          <w:rFonts w:ascii="Times New Roman" w:hAnsi="Times New Roman"/>
          <w:lang w:val="lv-LV"/>
        </w:rPr>
        <w:t xml:space="preserve"> “’Ilgtspējīga teritorijas attīstība un racionāla zemes resursu izmantošana” </w:t>
      </w:r>
    </w:p>
    <w:p w14:paraId="33774FE6" w14:textId="6DF32A6D" w:rsidR="0088664F" w:rsidRDefault="00BF50F0" w:rsidP="00BF50F0">
      <w:pPr>
        <w:jc w:val="right"/>
        <w:rPr>
          <w:rFonts w:ascii="Times New Roman" w:hAnsi="Times New Roman"/>
          <w:lang w:val="lv-LV"/>
        </w:rPr>
      </w:pPr>
      <w:r w:rsidRPr="00BF50F0">
        <w:rPr>
          <w:rFonts w:ascii="Times New Roman" w:hAnsi="Times New Roman"/>
          <w:lang w:val="lv-LV"/>
        </w:rPr>
        <w:t>projektu pieteikumu atklātā konkursa nolikumam</w:t>
      </w:r>
    </w:p>
    <w:p w14:paraId="24AF81B3" w14:textId="77777777" w:rsidR="00BF50F0" w:rsidRPr="00282DCB" w:rsidRDefault="00BF50F0" w:rsidP="00BF50F0">
      <w:pPr>
        <w:jc w:val="right"/>
        <w:rPr>
          <w:rFonts w:ascii="Times New Roman" w:hAnsi="Times New Roman"/>
          <w:b/>
          <w:lang w:val="lv-LV"/>
        </w:rPr>
      </w:pPr>
    </w:p>
    <w:p w14:paraId="133DEA66" w14:textId="067514B9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Metodika projekta pieteikuma atbilstības izvērtēšanai </w:t>
      </w:r>
      <w:r w:rsidR="009A1397">
        <w:rPr>
          <w:rFonts w:ascii="Times New Roman" w:eastAsiaTheme="majorEastAsia" w:hAnsi="Times New Roman"/>
          <w:b/>
          <w:bCs/>
          <w:kern w:val="32"/>
          <w:lang w:val="lv-LV" w:bidi="ar-SA"/>
        </w:rPr>
        <w:t>pēc nozares specifiskajiem</w:t>
      </w: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53CCAEB0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2B7668">
        <w:rPr>
          <w:rFonts w:ascii="Times New Roman" w:eastAsia="Calibri" w:hAnsi="Times New Roman"/>
          <w:lang w:val="lv-LV" w:bidi="ar-SA"/>
        </w:rPr>
        <w:t>018. gada 4. augusta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r w:rsidR="00BF50F0" w:rsidRPr="00BF50F0">
        <w:rPr>
          <w:rFonts w:ascii="Times New Roman" w:hAnsi="Times New Roman"/>
          <w:lang w:val="lv-LV"/>
        </w:rPr>
        <w:t>’Ilgtspējīga teritorijas attīstība un racionāla zemes resursu izmantošana</w:t>
      </w:r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C555E0">
        <w:rPr>
          <w:rFonts w:ascii="Times New Roman" w:eastAsia="Calibri" w:hAnsi="Times New Roman"/>
          <w:lang w:val="lv-LV" w:bidi="ar-SA"/>
        </w:rPr>
        <w:t>( turpmāk – programma)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</w:t>
      </w:r>
      <w:r w:rsidR="00CD4BB5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komisija)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</w:t>
      </w:r>
      <w:r w:rsidR="00EF1CA2" w:rsidRPr="0097405F">
        <w:rPr>
          <w:rFonts w:ascii="Times New Roman" w:eastAsia="Calibri" w:hAnsi="Times New Roman"/>
          <w:lang w:val="lv-LV" w:bidi="ar-SA"/>
        </w:rPr>
        <w:t>20</w:t>
      </w:r>
      <w:r w:rsidR="00BF50F0" w:rsidRPr="0097405F">
        <w:rPr>
          <w:rFonts w:ascii="Times New Roman" w:eastAsia="Calibri" w:hAnsi="Times New Roman"/>
          <w:lang w:val="lv-LV" w:bidi="ar-SA"/>
        </w:rPr>
        <w:t>20</w:t>
      </w:r>
      <w:r w:rsidR="00EF1CA2" w:rsidRPr="0097405F">
        <w:rPr>
          <w:rFonts w:ascii="Times New Roman" w:eastAsia="Calibri" w:hAnsi="Times New Roman"/>
          <w:lang w:val="lv-LV" w:bidi="ar-SA"/>
        </w:rPr>
        <w:t>. gada</w:t>
      </w:r>
      <w:r w:rsidR="0097405F">
        <w:rPr>
          <w:rFonts w:ascii="Times New Roman" w:eastAsia="Calibri" w:hAnsi="Times New Roman"/>
          <w:lang w:val="lv-LV" w:bidi="ar-SA"/>
        </w:rPr>
        <w:t xml:space="preserve">    </w:t>
      </w:r>
      <w:bookmarkStart w:id="0" w:name="_GoBack"/>
      <w:bookmarkEnd w:id="0"/>
      <w:r w:rsidR="00EF1CA2" w:rsidRPr="0097405F">
        <w:rPr>
          <w:rFonts w:ascii="Times New Roman" w:eastAsia="Calibri" w:hAnsi="Times New Roman"/>
          <w:lang w:val="lv-LV" w:bidi="ar-SA"/>
        </w:rPr>
        <w:t xml:space="preserve"> </w:t>
      </w:r>
      <w:r w:rsidR="0097405F" w:rsidRPr="0097405F">
        <w:rPr>
          <w:rFonts w:ascii="Times New Roman" w:eastAsia="Calibri" w:hAnsi="Times New Roman"/>
          <w:lang w:val="lv-LV" w:bidi="ar-SA"/>
        </w:rPr>
        <w:t>13</w:t>
      </w:r>
      <w:r w:rsidR="00EF1CA2" w:rsidRPr="0097405F">
        <w:rPr>
          <w:rFonts w:ascii="Times New Roman" w:eastAsia="Calibri" w:hAnsi="Times New Roman"/>
          <w:lang w:val="lv-LV" w:bidi="ar-SA"/>
        </w:rPr>
        <w:t xml:space="preserve">. </w:t>
      </w:r>
      <w:sdt>
        <w:sdtPr>
          <w:rPr>
            <w:color w:val="000000" w:themeColor="text1"/>
            <w:lang w:val="lv-LV" w:eastAsia="en-GB"/>
          </w:rPr>
          <w:id w:val="1642763906"/>
          <w:placeholder>
            <w:docPart w:val="8F72AF68A432440484377255C6F60E2E"/>
          </w:placeholder>
        </w:sdtPr>
        <w:sdtEndPr>
          <w:rPr>
            <w:highlight w:val="yellow"/>
          </w:rPr>
        </w:sdtEndPr>
        <w:sdtContent>
          <w:r w:rsidR="00F95731" w:rsidRPr="0097405F">
            <w:rPr>
              <w:rFonts w:ascii="Times New Roman" w:hAnsi="Times New Roman"/>
              <w:color w:val="000000" w:themeColor="text1"/>
              <w:lang w:val="lv-LV" w:eastAsia="en-GB"/>
            </w:rPr>
            <w:t>jūlijā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 xml:space="preserve"> apstiprināto </w:t>
      </w:r>
      <w:r w:rsidR="004105D5">
        <w:rPr>
          <w:rFonts w:ascii="Times New Roman" w:eastAsia="Calibri" w:hAnsi="Times New Roman"/>
          <w:lang w:val="lv-LV" w:bidi="ar-SA"/>
        </w:rPr>
        <w:t>valsts pētījumu programmas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</w:t>
      </w:r>
      <w:r w:rsidR="00C555E0" w:rsidRPr="00C555E0">
        <w:rPr>
          <w:rFonts w:ascii="Times New Roman" w:eastAsia="Calibri" w:hAnsi="Times New Roman"/>
          <w:lang w:val="lv-LV" w:bidi="ar-SA"/>
        </w:rPr>
        <w:t>“</w:t>
      </w:r>
      <w:r w:rsidR="004105D5" w:rsidRPr="00BF50F0">
        <w:rPr>
          <w:rFonts w:ascii="Times New Roman" w:hAnsi="Times New Roman"/>
          <w:lang w:val="lv-LV"/>
        </w:rPr>
        <w:t>’Ilgtspējīga teritorijas attīstība un racionāla zemes resursu izmantošana</w:t>
      </w:r>
      <w:r w:rsidR="00C555E0" w:rsidRPr="00C555E0">
        <w:rPr>
          <w:rFonts w:ascii="Times New Roman" w:eastAsia="Calibri" w:hAnsi="Times New Roman"/>
          <w:lang w:val="lv-LV" w:bidi="ar-SA"/>
        </w:rPr>
        <w:t xml:space="preserve">” </w:t>
      </w:r>
      <w:r w:rsidR="004105D5" w:rsidRPr="00BF50F0">
        <w:rPr>
          <w:rFonts w:ascii="Times New Roman" w:hAnsi="Times New Roman"/>
          <w:lang w:val="lv-LV"/>
        </w:rPr>
        <w:t>projektu pieteikumu atklātā konkursa nolikum</w:t>
      </w:r>
      <w:r w:rsidR="004105D5">
        <w:rPr>
          <w:rFonts w:ascii="Times New Roman" w:hAnsi="Times New Roman"/>
          <w:lang w:val="lv-LV"/>
        </w:rPr>
        <w:t>u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715470AA" w:rsidR="006802CF" w:rsidRPr="008768A9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 xml:space="preserve">2. Projekta pieteikuma atbilstību </w:t>
      </w:r>
      <w:r w:rsidR="00CD4BB5">
        <w:rPr>
          <w:rFonts w:ascii="Times New Roman" w:eastAsia="Calibri" w:hAnsi="Times New Roman"/>
          <w:lang w:val="lv-LV" w:bidi="ar-SA"/>
        </w:rPr>
        <w:t>n</w:t>
      </w:r>
      <w:r w:rsidR="00912CDD">
        <w:rPr>
          <w:rFonts w:ascii="Times New Roman" w:eastAsia="Calibri" w:hAnsi="Times New Roman"/>
          <w:lang w:val="lv-LV" w:bidi="ar-SA"/>
        </w:rPr>
        <w:t>olikuma 4</w:t>
      </w:r>
      <w:r w:rsidR="004105D5">
        <w:rPr>
          <w:rFonts w:ascii="Times New Roman" w:eastAsia="Calibri" w:hAnsi="Times New Roman"/>
          <w:lang w:val="lv-LV" w:bidi="ar-SA"/>
        </w:rPr>
        <w:t>6</w:t>
      </w:r>
      <w:r w:rsidR="00912CDD">
        <w:rPr>
          <w:rFonts w:ascii="Times New Roman" w:eastAsia="Calibri" w:hAnsi="Times New Roman"/>
          <w:lang w:val="lv-LV" w:bidi="ar-SA"/>
        </w:rPr>
        <w:t>.1.–</w:t>
      </w:r>
      <w:r w:rsidR="001922DA">
        <w:rPr>
          <w:rFonts w:ascii="Times New Roman" w:eastAsia="Calibri" w:hAnsi="Times New Roman"/>
          <w:lang w:val="lv-LV" w:bidi="ar-SA"/>
        </w:rPr>
        <w:t xml:space="preserve"> </w:t>
      </w:r>
      <w:r w:rsidR="00912CDD">
        <w:rPr>
          <w:rFonts w:ascii="Times New Roman" w:eastAsia="Calibri" w:hAnsi="Times New Roman"/>
          <w:lang w:val="lv-LV" w:bidi="ar-SA"/>
        </w:rPr>
        <w:t>4</w:t>
      </w:r>
      <w:r w:rsidR="004105D5">
        <w:rPr>
          <w:rFonts w:ascii="Times New Roman" w:eastAsia="Calibri" w:hAnsi="Times New Roman"/>
          <w:lang w:val="lv-LV" w:bidi="ar-SA"/>
        </w:rPr>
        <w:t>6</w:t>
      </w:r>
      <w:r w:rsidR="00912CDD">
        <w:rPr>
          <w:rFonts w:ascii="Times New Roman" w:eastAsia="Calibri" w:hAnsi="Times New Roman"/>
          <w:lang w:val="lv-LV" w:bidi="ar-SA"/>
        </w:rPr>
        <w:t>.</w:t>
      </w:r>
      <w:r w:rsidR="007D091C">
        <w:rPr>
          <w:rFonts w:ascii="Times New Roman" w:eastAsia="Calibri" w:hAnsi="Times New Roman"/>
          <w:lang w:val="lv-LV" w:bidi="ar-SA"/>
        </w:rPr>
        <w:t>5</w:t>
      </w:r>
      <w:r w:rsidR="00CD4BB5" w:rsidRPr="00CD4BB5">
        <w:rPr>
          <w:rFonts w:ascii="Times New Roman" w:eastAsia="Calibri" w:hAnsi="Times New Roman"/>
          <w:lang w:val="lv-LV" w:bidi="ar-SA"/>
        </w:rPr>
        <w:t>. apakšpunktā minētajiem nozares specifiskajiem kritērijiem</w:t>
      </w:r>
      <w:r w:rsidR="00CD4BB5">
        <w:rPr>
          <w:rFonts w:ascii="Times New Roman" w:eastAsia="Calibri" w:hAnsi="Times New Roman"/>
          <w:lang w:val="lv-LV" w:bidi="ar-SA"/>
        </w:rPr>
        <w:t xml:space="preserve"> </w:t>
      </w:r>
      <w:r w:rsidRPr="00282DCB">
        <w:rPr>
          <w:rFonts w:ascii="Times New Roman" w:eastAsia="Calibri" w:hAnsi="Times New Roman"/>
          <w:lang w:val="lv-LV" w:bidi="ar-SA"/>
        </w:rPr>
        <w:t xml:space="preserve">izvērtē </w:t>
      </w:r>
      <w:r w:rsidR="00CD4BB5" w:rsidRPr="008768A9">
        <w:rPr>
          <w:rFonts w:ascii="Times New Roman" w:eastAsia="Calibri" w:hAnsi="Times New Roman"/>
          <w:lang w:val="lv-LV" w:bidi="ar-SA"/>
        </w:rPr>
        <w:t>komisija</w:t>
      </w:r>
      <w:r w:rsidRPr="008768A9">
        <w:rPr>
          <w:rFonts w:ascii="Times New Roman" w:eastAsia="Calibri" w:hAnsi="Times New Roman"/>
          <w:lang w:val="lv-LV" w:bidi="ar-SA"/>
        </w:rPr>
        <w:t xml:space="preserve"> </w:t>
      </w:r>
      <w:r w:rsidR="004105D5" w:rsidRPr="008768A9">
        <w:rPr>
          <w:rFonts w:ascii="Times New Roman" w:eastAsia="Calibri" w:hAnsi="Times New Roman"/>
          <w:lang w:val="lv-LV" w:bidi="ar-SA"/>
        </w:rPr>
        <w:t>nedēļas</w:t>
      </w:r>
      <w:r w:rsidR="00E762EF" w:rsidRPr="008768A9">
        <w:rPr>
          <w:rFonts w:ascii="Times New Roman" w:eastAsia="Calibri" w:hAnsi="Times New Roman"/>
          <w:lang w:val="lv-LV" w:bidi="ar-SA"/>
        </w:rPr>
        <w:t xml:space="preserve"> laikā </w:t>
      </w:r>
      <w:r w:rsidR="007102A2" w:rsidRPr="008768A9">
        <w:rPr>
          <w:rFonts w:ascii="Times New Roman" w:eastAsia="Calibri" w:hAnsi="Times New Roman"/>
          <w:lang w:val="lv-LV" w:bidi="ar-SA"/>
        </w:rPr>
        <w:t>no</w:t>
      </w:r>
      <w:r w:rsidR="00E762EF" w:rsidRPr="008768A9">
        <w:rPr>
          <w:rFonts w:ascii="Times New Roman" w:eastAsia="Calibri" w:hAnsi="Times New Roman"/>
          <w:lang w:val="lv-LV" w:bidi="ar-SA"/>
        </w:rPr>
        <w:t xml:space="preserve"> </w:t>
      </w:r>
      <w:r w:rsidR="00DC3FEC" w:rsidRPr="008768A9">
        <w:rPr>
          <w:rFonts w:ascii="Times New Roman" w:hAnsi="Times New Roman"/>
          <w:color w:val="000000"/>
          <w:lang w:val="lv-LV"/>
        </w:rPr>
        <w:t>projektu pieteikumu ekspertīzes saraksta</w:t>
      </w:r>
      <w:r w:rsidR="00CD4BB5" w:rsidRPr="008768A9">
        <w:rPr>
          <w:rFonts w:ascii="Times New Roman" w:eastAsia="Calibri" w:hAnsi="Times New Roman"/>
          <w:lang w:val="lv-LV" w:bidi="ar-SA"/>
        </w:rPr>
        <w:t xml:space="preserve"> saņemšanas</w:t>
      </w:r>
      <w:r w:rsidRPr="008768A9">
        <w:rPr>
          <w:rFonts w:ascii="Times New Roman" w:eastAsia="Calibri" w:hAnsi="Times New Roman"/>
          <w:lang w:val="lv-LV" w:bidi="ar-SA"/>
        </w:rPr>
        <w:t>.</w:t>
      </w:r>
    </w:p>
    <w:p w14:paraId="10EA2726" w14:textId="01EC924F" w:rsidR="00CD4BB5" w:rsidRPr="008768A9" w:rsidRDefault="00CD4BB5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35758F9C" w14:textId="7A92C736" w:rsidR="00CD4BB5" w:rsidRPr="008768A9" w:rsidRDefault="00CD4BB5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8768A9">
        <w:rPr>
          <w:rFonts w:ascii="Times New Roman" w:eastAsia="Calibri" w:hAnsi="Times New Roman"/>
          <w:lang w:val="lv-LV" w:bidi="ar-SA"/>
        </w:rPr>
        <w:t xml:space="preserve">3. Katru projekta pieteikuma atbilstību nozares specifiskajiem vērtēšanas kritērijiem vērtē vismaz divi komisijas balsstiesīgie locekļi vai komisijas pieaicinātie eksperti, aizpildot </w:t>
      </w:r>
      <w:r w:rsidR="001922DA">
        <w:rPr>
          <w:rFonts w:ascii="Times New Roman" w:eastAsia="Calibri" w:hAnsi="Times New Roman"/>
          <w:lang w:val="lv-LV" w:bidi="ar-SA"/>
        </w:rPr>
        <w:t>nolikuma 10. </w:t>
      </w:r>
      <w:r w:rsidR="002F7A7B" w:rsidRPr="008768A9">
        <w:rPr>
          <w:rFonts w:ascii="Times New Roman" w:eastAsia="Calibri" w:hAnsi="Times New Roman"/>
          <w:lang w:val="lv-LV" w:bidi="ar-SA"/>
        </w:rPr>
        <w:t>pielikumu “Individuālā/kopējā nozares specifisko kritēriju vērtēšanas veidlapa”</w:t>
      </w:r>
      <w:r w:rsidRPr="008768A9">
        <w:rPr>
          <w:rFonts w:ascii="Times New Roman" w:eastAsia="Calibri" w:hAnsi="Times New Roman"/>
          <w:lang w:val="lv-LV" w:bidi="ar-SA"/>
        </w:rPr>
        <w:t>.</w:t>
      </w:r>
    </w:p>
    <w:p w14:paraId="5582DEB5" w14:textId="18A69807" w:rsidR="00D437BC" w:rsidRPr="008768A9" w:rsidRDefault="00D437BC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4A2308F4" w14:textId="72FBB686" w:rsidR="00D437BC" w:rsidRPr="008768A9" w:rsidRDefault="00F6181F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8768A9">
        <w:rPr>
          <w:rFonts w:ascii="Times New Roman" w:eastAsia="Calibri" w:hAnsi="Times New Roman"/>
          <w:lang w:val="lv-LV" w:bidi="ar-SA"/>
        </w:rPr>
        <w:t xml:space="preserve">4. </w:t>
      </w:r>
      <w:r w:rsidR="00D437BC" w:rsidRPr="008768A9">
        <w:rPr>
          <w:rFonts w:ascii="Times New Roman" w:eastAsia="Calibri" w:hAnsi="Times New Roman"/>
          <w:lang w:val="lv-LV" w:bidi="ar-SA"/>
        </w:rPr>
        <w:t>Individuālajā vērtējumā katrs kritērijs tiek</w:t>
      </w:r>
      <w:r w:rsidR="00912CDD" w:rsidRPr="008768A9">
        <w:rPr>
          <w:rFonts w:ascii="Times New Roman" w:eastAsia="Calibri" w:hAnsi="Times New Roman"/>
          <w:lang w:val="lv-LV" w:bidi="ar-SA"/>
        </w:rPr>
        <w:t xml:space="preserve"> izvērtēts piešķirot 0–0,5 </w:t>
      </w:r>
      <w:r w:rsidR="00D437BC" w:rsidRPr="008768A9">
        <w:rPr>
          <w:rFonts w:ascii="Times New Roman" w:eastAsia="Calibri" w:hAnsi="Times New Roman"/>
          <w:lang w:val="lv-LV" w:bidi="ar-SA"/>
        </w:rPr>
        <w:t>punktus</w:t>
      </w:r>
      <w:r w:rsidR="00912CDD" w:rsidRPr="008768A9">
        <w:rPr>
          <w:rFonts w:ascii="Times New Roman" w:eastAsia="Calibri" w:hAnsi="Times New Roman"/>
          <w:lang w:val="lv-LV" w:bidi="ar-SA"/>
        </w:rPr>
        <w:t xml:space="preserve"> </w:t>
      </w:r>
      <w:r w:rsidRPr="008768A9">
        <w:rPr>
          <w:rFonts w:ascii="Times New Roman" w:eastAsia="Calibri" w:hAnsi="Times New Roman"/>
          <w:lang w:val="lv-LV" w:bidi="ar-SA"/>
        </w:rPr>
        <w:t>par katru zemāk tabulā atsevišķi minēto nosacījumu</w:t>
      </w:r>
      <w:r w:rsidR="00D437BC" w:rsidRPr="008768A9">
        <w:rPr>
          <w:rFonts w:ascii="Times New Roman" w:eastAsia="Calibri" w:hAnsi="Times New Roman"/>
          <w:lang w:val="lv-LV" w:bidi="ar-SA"/>
        </w:rPr>
        <w:t>.</w:t>
      </w:r>
    </w:p>
    <w:p w14:paraId="48682BF3" w14:textId="77777777" w:rsidR="00633192" w:rsidRPr="008768A9" w:rsidRDefault="00633192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7A131F92" w14:textId="30C35B7B" w:rsidR="00CD4BB5" w:rsidRDefault="00F6181F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8768A9">
        <w:rPr>
          <w:rFonts w:ascii="Times New Roman" w:eastAsia="Calibri" w:hAnsi="Times New Roman"/>
          <w:lang w:val="lv-LV" w:bidi="ar-SA"/>
        </w:rPr>
        <w:t>5</w:t>
      </w:r>
      <w:r w:rsidR="00CD4BB5" w:rsidRPr="008768A9">
        <w:rPr>
          <w:rFonts w:ascii="Times New Roman" w:eastAsia="Calibri" w:hAnsi="Times New Roman"/>
          <w:lang w:val="lv-LV" w:bidi="ar-SA"/>
        </w:rPr>
        <w:t>. Par kopējā vērtējuma sastādīšanu atbildīgais komisijas balsstiesīgais loceklis vai komisijas pieaicinātais eksperts aizpilda</w:t>
      </w:r>
      <w:r w:rsidR="002F7A7B" w:rsidRPr="008768A9">
        <w:rPr>
          <w:rFonts w:ascii="Times New Roman" w:eastAsia="Calibri" w:hAnsi="Times New Roman"/>
          <w:lang w:val="lv-LV" w:bidi="ar-SA"/>
        </w:rPr>
        <w:t xml:space="preserve"> nolikuma 10. pielikumu “Individuālā/kopējā nozares specifisko kritēriju vērtēšanas veidlapa”</w:t>
      </w:r>
      <w:r w:rsidR="00CD4BB5" w:rsidRPr="008768A9">
        <w:rPr>
          <w:rFonts w:ascii="Times New Roman" w:eastAsia="Calibri" w:hAnsi="Times New Roman"/>
          <w:lang w:val="lv-LV" w:bidi="ar-SA"/>
        </w:rPr>
        <w:t xml:space="preserve">, kuru paraksta abi vērtētāji un </w:t>
      </w:r>
      <w:r w:rsidR="007E1990" w:rsidRPr="008768A9">
        <w:rPr>
          <w:rFonts w:ascii="Times New Roman" w:eastAsia="Calibri" w:hAnsi="Times New Roman"/>
          <w:lang w:val="lv-LV" w:bidi="ar-SA"/>
        </w:rPr>
        <w:t xml:space="preserve">ieskenētu </w:t>
      </w:r>
      <w:r w:rsidR="00CD4BB5" w:rsidRPr="008768A9">
        <w:rPr>
          <w:rFonts w:ascii="Times New Roman" w:eastAsia="Calibri" w:hAnsi="Times New Roman"/>
          <w:lang w:val="lv-LV" w:bidi="ar-SA"/>
        </w:rPr>
        <w:t>iesniedz komisijas sekretariātam komisijas noteiktajā termiņā</w:t>
      </w:r>
      <w:r w:rsidR="007E1990" w:rsidRPr="008768A9">
        <w:rPr>
          <w:rFonts w:ascii="Times New Roman" w:eastAsia="Calibri" w:hAnsi="Times New Roman"/>
          <w:lang w:val="lv-LV" w:bidi="ar-SA"/>
        </w:rPr>
        <w:t>, vēlāk nogādājot oriģinālu komisijas sekretariātam</w:t>
      </w:r>
      <w:r w:rsidR="00CD4BB5" w:rsidRPr="008768A9">
        <w:rPr>
          <w:rFonts w:ascii="Times New Roman" w:eastAsia="Calibri" w:hAnsi="Times New Roman"/>
          <w:lang w:val="lv-LV" w:bidi="ar-SA"/>
        </w:rPr>
        <w:t>.</w:t>
      </w:r>
    </w:p>
    <w:p w14:paraId="6E3CE342" w14:textId="30E75928" w:rsidR="002F7A7B" w:rsidRDefault="002F7A7B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365428E0" w14:textId="05C9E29B" w:rsidR="002F7A7B" w:rsidRPr="00CD4BB5" w:rsidRDefault="002F7A7B" w:rsidP="00CD4BB5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>6. N</w:t>
      </w:r>
      <w:r w:rsidRPr="002F7A7B">
        <w:rPr>
          <w:rFonts w:ascii="Times New Roman" w:eastAsia="Calibri" w:hAnsi="Times New Roman"/>
          <w:lang w:val="lv-LV" w:bidi="ar-SA"/>
        </w:rPr>
        <w:t>olikuma 10. pielikumu “Individuālā/kopējā nozares specifisko kritēriju vērtēšanas veidlapa”</w:t>
      </w:r>
      <w:r>
        <w:rPr>
          <w:rFonts w:ascii="Times New Roman" w:eastAsia="Calibri" w:hAnsi="Times New Roman"/>
          <w:lang w:val="lv-LV" w:bidi="ar-SA"/>
        </w:rPr>
        <w:t xml:space="preserve"> aizpilda, ievērojot šādus nosacījumus:</w:t>
      </w:r>
    </w:p>
    <w:p w14:paraId="51437DE2" w14:textId="3163DBE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281"/>
        <w:gridCol w:w="4677"/>
        <w:gridCol w:w="1307"/>
      </w:tblGrid>
      <w:tr w:rsidR="0006732D" w:rsidRPr="001F6E86" w14:paraId="21397838" w14:textId="77777777" w:rsidTr="00912CDD">
        <w:tc>
          <w:tcPr>
            <w:tcW w:w="299" w:type="pct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1665" w:type="pct"/>
          </w:tcPr>
          <w:p w14:paraId="023D7D3D" w14:textId="045A27AD" w:rsidR="0006732D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Nozares specifiskais kritērijs</w:t>
            </w:r>
          </w:p>
          <w:p w14:paraId="50349CBA" w14:textId="0ECDAC67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426EA">
              <w:rPr>
                <w:rFonts w:ascii="Times New Roman" w:hAnsi="Times New Roman"/>
                <w:i/>
                <w:color w:val="000000"/>
                <w:lang w:val="lv-LV"/>
              </w:rPr>
              <w:t>Atbilstoši no</w:t>
            </w:r>
            <w:r w:rsidR="00727975" w:rsidRPr="00C426EA">
              <w:rPr>
                <w:rFonts w:ascii="Times New Roman" w:hAnsi="Times New Roman"/>
                <w:i/>
                <w:color w:val="000000"/>
                <w:lang w:val="lv-LV"/>
              </w:rPr>
              <w:t>likuma</w:t>
            </w:r>
            <w:r w:rsidRPr="00C426E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27975" w:rsidRPr="00C426EA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2F7A7B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C426E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2B7668" w:rsidRPr="00C426EA">
              <w:rPr>
                <w:rFonts w:ascii="Times New Roman" w:hAnsi="Times New Roman"/>
                <w:i/>
                <w:color w:val="000000"/>
                <w:lang w:val="lv-LV"/>
              </w:rPr>
              <w:t xml:space="preserve">1. – </w:t>
            </w:r>
            <w:r w:rsidR="00727975" w:rsidRPr="00C426EA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5A5378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="002B7668" w:rsidRPr="00C426E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B4714F">
              <w:rPr>
                <w:rFonts w:ascii="Times New Roman" w:hAnsi="Times New Roman"/>
                <w:i/>
                <w:color w:val="000000"/>
                <w:lang w:val="lv-LV"/>
              </w:rPr>
              <w:t>5</w:t>
            </w:r>
            <w:r w:rsidR="002B7668" w:rsidRPr="00C426E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27975" w:rsidRPr="00C426E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C426EA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C426EA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2373" w:type="pct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663" w:type="pct"/>
          </w:tcPr>
          <w:p w14:paraId="3C72F54E" w14:textId="7344E02A" w:rsidR="0006732D" w:rsidRPr="00282DCB" w:rsidRDefault="00727975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727975" w:rsidRPr="00C426EA" w14:paraId="5A5CBA56" w14:textId="77777777" w:rsidTr="00912CDD">
        <w:trPr>
          <w:trHeight w:val="843"/>
        </w:trPr>
        <w:tc>
          <w:tcPr>
            <w:tcW w:w="299" w:type="pct"/>
            <w:vMerge w:val="restart"/>
          </w:tcPr>
          <w:p w14:paraId="34C5CFBD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1665" w:type="pct"/>
            <w:vMerge w:val="restart"/>
          </w:tcPr>
          <w:p w14:paraId="23BF65DF" w14:textId="61AC64D6" w:rsidR="00765643" w:rsidRPr="00D13B3A" w:rsidRDefault="00D13B3A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D13B3A">
              <w:rPr>
                <w:rFonts w:ascii="Times New Roman" w:hAnsi="Times New Roman"/>
                <w:lang w:val="lv-LV"/>
              </w:rPr>
              <w:t>projekta īstenošanas rezultātā tiks sagatavots izvērtējums par Latvijas zemes resursu izmantošanas juridisko ietvaru un zemes izmantošanas alternatīvajiem scenārijiem</w:t>
            </w:r>
          </w:p>
        </w:tc>
        <w:tc>
          <w:tcPr>
            <w:tcW w:w="2373" w:type="pct"/>
          </w:tcPr>
          <w:p w14:paraId="599822D3" w14:textId="0B9ACFA7" w:rsidR="00727975" w:rsidRDefault="00D86432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 xml:space="preserve">1.1. </w:t>
            </w:r>
            <w:r w:rsidR="00AF5697" w:rsidRPr="00AF5697">
              <w:rPr>
                <w:rFonts w:ascii="Times New Roman" w:hAnsi="Times New Roman"/>
                <w:i/>
                <w:lang w:val="lv-LV"/>
              </w:rPr>
              <w:t>paredzēta zemes resursu izmantošanas juridiskā ietvara analīze, izvērtējot ar</w:t>
            </w:r>
            <w:r w:rsidR="00B7498E">
              <w:rPr>
                <w:rFonts w:ascii="Times New Roman" w:hAnsi="Times New Roman"/>
                <w:i/>
                <w:lang w:val="lv-LV"/>
              </w:rPr>
              <w:t>ī</w:t>
            </w:r>
            <w:r w:rsidR="00AF5697" w:rsidRPr="00AF5697">
              <w:rPr>
                <w:rFonts w:ascii="Times New Roman" w:hAnsi="Times New Roman"/>
                <w:i/>
                <w:lang w:val="lv-LV"/>
              </w:rPr>
              <w:t xml:space="preserve"> ārzemju praksi</w:t>
            </w:r>
          </w:p>
          <w:p w14:paraId="00B3D82F" w14:textId="3C7CCDD9" w:rsidR="00C426EA" w:rsidRPr="00C426EA" w:rsidRDefault="00C426EA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E793115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727975" w:rsidRPr="00D86432" w14:paraId="4650B721" w14:textId="77777777" w:rsidTr="00912CDD">
        <w:trPr>
          <w:trHeight w:val="843"/>
        </w:trPr>
        <w:tc>
          <w:tcPr>
            <w:tcW w:w="299" w:type="pct"/>
            <w:vMerge/>
          </w:tcPr>
          <w:p w14:paraId="69C53533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4D96E25B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2373" w:type="pct"/>
          </w:tcPr>
          <w:p w14:paraId="02ED574A" w14:textId="4DE3D4D9" w:rsidR="00727975" w:rsidRDefault="00D86432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 xml:space="preserve">1.2. </w:t>
            </w:r>
            <w:r w:rsidR="00AF5697" w:rsidRPr="00AF5697">
              <w:rPr>
                <w:rFonts w:ascii="Times New Roman" w:hAnsi="Times New Roman"/>
                <w:i/>
                <w:lang w:val="lv-LV"/>
              </w:rPr>
              <w:t>paredzēta datos un pierādījumos balstīta alternatīvo scenāriju sagatavošana un izvērtēšana</w:t>
            </w:r>
          </w:p>
          <w:p w14:paraId="3076AE6D" w14:textId="663A5938" w:rsidR="00C426EA" w:rsidRPr="00C426EA" w:rsidRDefault="00C426EA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540E5E9E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727975" w:rsidRPr="00D86432" w14:paraId="4675A221" w14:textId="77777777" w:rsidTr="00912CDD">
        <w:trPr>
          <w:trHeight w:val="843"/>
        </w:trPr>
        <w:tc>
          <w:tcPr>
            <w:tcW w:w="299" w:type="pct"/>
            <w:vMerge/>
          </w:tcPr>
          <w:p w14:paraId="218E3DC3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68E43455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2373" w:type="pct"/>
          </w:tcPr>
          <w:p w14:paraId="5E2474F2" w14:textId="7FC499D2" w:rsidR="00727975" w:rsidRDefault="00D86432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 xml:space="preserve">1.3. </w:t>
            </w:r>
            <w:r w:rsidR="00AF5697" w:rsidRPr="00AF5697">
              <w:rPr>
                <w:rFonts w:ascii="Times New Roman" w:hAnsi="Times New Roman"/>
                <w:i/>
                <w:lang w:val="lv-LV"/>
              </w:rPr>
              <w:t>izvērtējums veikts, ņemot vērā nozaru intereses, noteiktos zemes īpašuma tiesību ierobežojumus, kā arī nākotnes klimata pārmaiņu un sociālekonomisko prognožu radītos izaicinājumus</w:t>
            </w:r>
          </w:p>
          <w:p w14:paraId="15B8A08F" w14:textId="3A4FC0DC" w:rsidR="00C426EA" w:rsidRPr="00477CE1" w:rsidRDefault="00C426EA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66F45534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727975" w:rsidRPr="00C426EA" w14:paraId="641FFBA6" w14:textId="77777777" w:rsidTr="00912CDD">
        <w:trPr>
          <w:trHeight w:val="459"/>
        </w:trPr>
        <w:tc>
          <w:tcPr>
            <w:tcW w:w="299" w:type="pct"/>
            <w:vMerge w:val="restart"/>
          </w:tcPr>
          <w:p w14:paraId="32655411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1665" w:type="pct"/>
            <w:vMerge w:val="restart"/>
          </w:tcPr>
          <w:p w14:paraId="7456D1A9" w14:textId="167CF952" w:rsidR="00765643" w:rsidRPr="00B7498E" w:rsidRDefault="00B7498E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B7498E">
              <w:rPr>
                <w:rFonts w:ascii="Times New Roman" w:hAnsi="Times New Roman"/>
                <w:color w:val="000000"/>
                <w:lang w:val="lv-LV"/>
              </w:rPr>
              <w:t xml:space="preserve">projekta īstenošanas rezultātā tiks sagatavoti priekšlikumi zemes resursu racionālai </w:t>
            </w:r>
            <w:r w:rsidRPr="00B7498E">
              <w:rPr>
                <w:rFonts w:ascii="Times New Roman" w:hAnsi="Times New Roman"/>
                <w:color w:val="000000"/>
                <w:lang w:val="lv-LV"/>
              </w:rPr>
              <w:lastRenderedPageBreak/>
              <w:t>izmantošanai visos pārvaldības līmeņos</w:t>
            </w:r>
          </w:p>
        </w:tc>
        <w:tc>
          <w:tcPr>
            <w:tcW w:w="2373" w:type="pct"/>
          </w:tcPr>
          <w:p w14:paraId="4406E964" w14:textId="206DFC51" w:rsidR="00727975" w:rsidRPr="00AF5697" w:rsidRDefault="00D86432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2.1.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 xml:space="preserve">paredzēti priekšlikumi vispārējiem principiem un rīcībām, kas veicina efektīvu un nākotnes izaicinājumiem atbilstošu zemes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resursu izmantošanu</w:t>
            </w:r>
          </w:p>
          <w:p w14:paraId="41B63728" w14:textId="498CA737" w:rsidR="00C426EA" w:rsidRPr="00C426EA" w:rsidRDefault="00C426EA" w:rsidP="007279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66ECFA1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727975" w:rsidRPr="00D86432" w14:paraId="3730DB01" w14:textId="77777777" w:rsidTr="00912CDD">
        <w:trPr>
          <w:trHeight w:val="459"/>
        </w:trPr>
        <w:tc>
          <w:tcPr>
            <w:tcW w:w="299" w:type="pct"/>
            <w:vMerge/>
          </w:tcPr>
          <w:p w14:paraId="2CB1F744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4267B236" w14:textId="77777777" w:rsidR="00727975" w:rsidRPr="00727975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4C229B7C" w14:textId="3B423E39" w:rsidR="00727975" w:rsidRPr="00AF5697" w:rsidRDefault="00D86432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2.2.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>paredzēts priekšlikums kompetenču sadalījumam zemes resursu efektīvai izmantošanai visos pārvaldības līmeņos</w:t>
            </w:r>
          </w:p>
          <w:p w14:paraId="1F2C9889" w14:textId="33F7C5E5" w:rsidR="00C426EA" w:rsidRPr="00C426EA" w:rsidRDefault="00C426EA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CE48E39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727975" w:rsidRPr="00D86432" w14:paraId="34AEB101" w14:textId="77777777" w:rsidTr="00912CDD">
        <w:trPr>
          <w:trHeight w:val="459"/>
        </w:trPr>
        <w:tc>
          <w:tcPr>
            <w:tcW w:w="299" w:type="pct"/>
            <w:vMerge/>
          </w:tcPr>
          <w:p w14:paraId="684E74FA" w14:textId="77777777" w:rsidR="00727975" w:rsidRPr="00282DCB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24EA7CD4" w14:textId="77777777" w:rsidR="00727975" w:rsidRPr="00727975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645AF5A5" w14:textId="4B1F9D51" w:rsidR="00727975" w:rsidRPr="00AF5697" w:rsidRDefault="00D86432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2.3.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>paredzēts priekšlikums sabiedrības iesaistei lēmumu pieņemšanā</w:t>
            </w:r>
          </w:p>
          <w:p w14:paraId="52C39AF8" w14:textId="436F9EA9" w:rsidR="00C426EA" w:rsidRPr="00D86432" w:rsidRDefault="00C426EA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351D00A6" w14:textId="77777777" w:rsidR="00727975" w:rsidRPr="00477CE1" w:rsidRDefault="0072797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D6736D" w:rsidRPr="00C426EA" w14:paraId="52B054CD" w14:textId="77777777" w:rsidTr="00912CDD">
        <w:trPr>
          <w:trHeight w:val="693"/>
        </w:trPr>
        <w:tc>
          <w:tcPr>
            <w:tcW w:w="299" w:type="pct"/>
            <w:vMerge w:val="restart"/>
          </w:tcPr>
          <w:p w14:paraId="3A05F6EE" w14:textId="77777777" w:rsidR="00D6736D" w:rsidRPr="00282DCB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1665" w:type="pct"/>
            <w:vMerge w:val="restart"/>
          </w:tcPr>
          <w:p w14:paraId="11DEEA52" w14:textId="674FA4B1" w:rsidR="00D6736D" w:rsidRPr="00B34B0C" w:rsidRDefault="00B34B0C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B34B0C">
              <w:rPr>
                <w:rFonts w:ascii="Times New Roman" w:hAnsi="Times New Roman"/>
                <w:color w:val="000000"/>
                <w:lang w:val="lv-LV"/>
              </w:rPr>
              <w:t>projekta īstenošanas rezultātā tiks radītas jaunas zināšanas par ainavu potenciāla novērtēšanu un attīstību Latvijā</w:t>
            </w:r>
          </w:p>
        </w:tc>
        <w:tc>
          <w:tcPr>
            <w:tcW w:w="2373" w:type="pct"/>
          </w:tcPr>
          <w:p w14:paraId="17C29B15" w14:textId="5A812126" w:rsidR="00D6736D" w:rsidRDefault="00D86432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3.1.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>paredzēts analizēt ārvalstu un Latvijas pieredzi sagatavojot un aprobējot metodoloģisku ietvaru ainavu novērtēšanai Latvijā, t.sk. ainavas kvalitātes mērķu noteikšanai</w:t>
            </w:r>
          </w:p>
          <w:p w14:paraId="2FD007CF" w14:textId="1FC44448" w:rsidR="00C426EA" w:rsidRPr="00C426EA" w:rsidRDefault="00C426EA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5AC856A1" w14:textId="77777777" w:rsidR="00D6736D" w:rsidRPr="00477CE1" w:rsidRDefault="00D6736D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D6736D" w:rsidRPr="00D86432" w14:paraId="022EEFAE" w14:textId="77777777" w:rsidTr="00912CDD">
        <w:trPr>
          <w:trHeight w:val="693"/>
        </w:trPr>
        <w:tc>
          <w:tcPr>
            <w:tcW w:w="299" w:type="pct"/>
            <w:vMerge/>
          </w:tcPr>
          <w:p w14:paraId="60FFFF9F" w14:textId="77777777" w:rsidR="00D6736D" w:rsidRPr="00282DCB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57FE62BB" w14:textId="77777777" w:rsidR="00D6736D" w:rsidRPr="00727975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68935467" w14:textId="44E1B2B3" w:rsidR="00D6736D" w:rsidRPr="00AF5697" w:rsidRDefault="00D86432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3.2. </w:t>
            </w:r>
            <w:proofErr w:type="gramStart"/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>plānots datos un pierādījumos balstītas metodoloģiskas pieejas izstrāde nacionālas nozīmes ainaviski vērtīgo teritoriju noteikšanai</w:t>
            </w:r>
            <w:proofErr w:type="gramEnd"/>
          </w:p>
          <w:p w14:paraId="551E9652" w14:textId="477C34DB" w:rsidR="00C426EA" w:rsidRPr="00477CE1" w:rsidRDefault="00C426EA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1179A155" w14:textId="77777777" w:rsidR="00D6736D" w:rsidRPr="00477CE1" w:rsidRDefault="00D6736D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D6736D" w:rsidRPr="00D86432" w14:paraId="4AC99CC9" w14:textId="77777777" w:rsidTr="00912CDD">
        <w:trPr>
          <w:trHeight w:val="693"/>
        </w:trPr>
        <w:tc>
          <w:tcPr>
            <w:tcW w:w="299" w:type="pct"/>
            <w:vMerge/>
          </w:tcPr>
          <w:p w14:paraId="5DADA9B8" w14:textId="77777777" w:rsidR="00D6736D" w:rsidRPr="00282DCB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6A54EAEF" w14:textId="77777777" w:rsidR="00D6736D" w:rsidRPr="00727975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5EADE85E" w14:textId="08C20DFF" w:rsidR="00D6736D" w:rsidRDefault="00D86432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3.3. </w:t>
            </w:r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>aprobējot metodoloģisko pieeju, paredzēta nacionālas nozīmes ainaviski vērtīgo teritoriju attīstības risku un iespēju analīze</w:t>
            </w:r>
            <w:proofErr w:type="gramStart"/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 xml:space="preserve"> un</w:t>
            </w:r>
            <w:proofErr w:type="gramEnd"/>
            <w:r w:rsidR="00AF5697" w:rsidRPr="00AF5697">
              <w:rPr>
                <w:rFonts w:ascii="Times New Roman" w:hAnsi="Times New Roman"/>
                <w:i/>
                <w:color w:val="000000"/>
                <w:lang w:val="lv-LV"/>
              </w:rPr>
              <w:t xml:space="preserve"> uz tā pamata veidoti ieteikumi rīcībpolitikai</w:t>
            </w:r>
          </w:p>
          <w:p w14:paraId="56C5C3AA" w14:textId="50B83C7C" w:rsidR="00C426EA" w:rsidRPr="00C426EA" w:rsidRDefault="00C426EA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7BF03FB9" w14:textId="77777777" w:rsidR="00D6736D" w:rsidRPr="00477CE1" w:rsidRDefault="00D6736D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2646C" w14:paraId="36C637CB" w14:textId="77777777" w:rsidTr="00912CDD">
        <w:trPr>
          <w:trHeight w:val="693"/>
        </w:trPr>
        <w:tc>
          <w:tcPr>
            <w:tcW w:w="299" w:type="pct"/>
            <w:vMerge w:val="restart"/>
          </w:tcPr>
          <w:p w14:paraId="61902BF2" w14:textId="7457FFEC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1665" w:type="pct"/>
            <w:vMerge w:val="restart"/>
          </w:tcPr>
          <w:p w14:paraId="72F2DBFF" w14:textId="694EE0E0" w:rsidR="001A2314" w:rsidRPr="00727975" w:rsidRDefault="00C44033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</w:t>
            </w:r>
            <w:r w:rsidRPr="00C44033">
              <w:rPr>
                <w:rFonts w:ascii="Times New Roman" w:hAnsi="Times New Roman"/>
                <w:color w:val="000000"/>
                <w:lang w:val="lv-LV"/>
              </w:rPr>
              <w:t xml:space="preserve">rojekta īstenošanas rezultātā tiks radīts jauns risinājums Latvijas ainavu novērtējuma rezultātu publicēšanai un sabiedrības izglītošanai </w:t>
            </w: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Pr="00C44033">
              <w:rPr>
                <w:rFonts w:ascii="Times New Roman" w:hAnsi="Times New Roman"/>
                <w:color w:val="000000"/>
                <w:lang w:val="lv-LV"/>
              </w:rPr>
              <w:t>elektronisks Latvijas ainavu atlants</w:t>
            </w:r>
            <w:r>
              <w:rPr>
                <w:rFonts w:ascii="Times New Roman" w:hAnsi="Times New Roman"/>
                <w:color w:val="000000"/>
                <w:lang w:val="lv-LV"/>
              </w:rPr>
              <w:t>)</w:t>
            </w:r>
          </w:p>
        </w:tc>
        <w:tc>
          <w:tcPr>
            <w:tcW w:w="2373" w:type="pct"/>
          </w:tcPr>
          <w:p w14:paraId="69EEB3DB" w14:textId="0014FE73" w:rsidR="001A2314" w:rsidRPr="00444041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4.1. </w:t>
            </w:r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paredzēts pētīt esošo datu pielietojamību un iegūt jaunus datus, kas demonstrē ainavu novērtējuma rezultātus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576B9E5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2646C" w14:paraId="7989BC05" w14:textId="77777777" w:rsidTr="00912CDD">
        <w:trPr>
          <w:trHeight w:val="693"/>
        </w:trPr>
        <w:tc>
          <w:tcPr>
            <w:tcW w:w="299" w:type="pct"/>
            <w:vMerge/>
          </w:tcPr>
          <w:p w14:paraId="307663CE" w14:textId="77777777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48DF95D3" w14:textId="77777777" w:rsidR="001A2314" w:rsidRPr="00727975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44839E23" w14:textId="7A51DAB0" w:rsidR="001A2314" w:rsidRPr="00444041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4.2. </w:t>
            </w:r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paredzēts izveidot metodoloģisko ietvaru jauniegūto datu uzglabāšanai, attēlošanai, papildināšanai un atjaunināšanai, t.sk. potenciāli papildinot esošus datu glabāšanas un attēlošanas risinājumus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856806E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2646C" w14:paraId="72B10813" w14:textId="77777777" w:rsidTr="00912CDD">
        <w:trPr>
          <w:trHeight w:val="693"/>
        </w:trPr>
        <w:tc>
          <w:tcPr>
            <w:tcW w:w="299" w:type="pct"/>
            <w:vMerge/>
          </w:tcPr>
          <w:p w14:paraId="367E2861" w14:textId="77777777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20DFF2DF" w14:textId="77777777" w:rsidR="001A2314" w:rsidRPr="00727975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4A75227D" w14:textId="24B37350" w:rsidR="001A2314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4.3. </w:t>
            </w:r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paredzēts ņemt vērā aktuālās starptautiskās un E</w:t>
            </w:r>
            <w:r w:rsidR="001922DA">
              <w:rPr>
                <w:rFonts w:ascii="Times New Roman" w:hAnsi="Times New Roman"/>
                <w:i/>
                <w:color w:val="000000"/>
                <w:lang w:val="lv-LV"/>
              </w:rPr>
              <w:t xml:space="preserve">iropas </w:t>
            </w:r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S</w:t>
            </w:r>
            <w:r w:rsidR="001922DA">
              <w:rPr>
                <w:rFonts w:ascii="Times New Roman" w:hAnsi="Times New Roman"/>
                <w:i/>
                <w:color w:val="000000"/>
                <w:lang w:val="lv-LV"/>
              </w:rPr>
              <w:t>avienības</w:t>
            </w:r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politikas un tendences par atvērto datu pieejamību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0AB8E836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44041" w14:paraId="4DD5A627" w14:textId="77777777" w:rsidTr="00912CDD">
        <w:trPr>
          <w:trHeight w:val="693"/>
        </w:trPr>
        <w:tc>
          <w:tcPr>
            <w:tcW w:w="299" w:type="pct"/>
            <w:vMerge w:val="restart"/>
          </w:tcPr>
          <w:p w14:paraId="767DA0DA" w14:textId="394FBB5B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1665" w:type="pct"/>
            <w:vMerge w:val="restart"/>
          </w:tcPr>
          <w:p w14:paraId="4C90D417" w14:textId="6E5E8993" w:rsidR="001A2314" w:rsidRPr="00727975" w:rsidRDefault="00A254F3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</w:t>
            </w:r>
            <w:r w:rsidR="00444041" w:rsidRPr="00444041">
              <w:rPr>
                <w:rFonts w:ascii="Times New Roman" w:hAnsi="Times New Roman"/>
                <w:color w:val="000000"/>
                <w:lang w:val="lv-LV"/>
              </w:rPr>
              <w:t>rojektā ir paredzēta sadarbība ar zemes resursu izmantošanā un ainavu plānošanā iesaistītajiem sociālajiem partneriem</w:t>
            </w:r>
          </w:p>
        </w:tc>
        <w:tc>
          <w:tcPr>
            <w:tcW w:w="2373" w:type="pct"/>
          </w:tcPr>
          <w:p w14:paraId="6B254ACC" w14:textId="08E47C65" w:rsidR="001A2314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5.1.</w:t>
            </w:r>
            <w:r w:rsidRPr="00444041">
              <w:rPr>
                <w:lang w:val="lv-LV"/>
              </w:rPr>
              <w:t xml:space="preserve"> </w:t>
            </w:r>
            <w:proofErr w:type="spellStart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plānota</w:t>
            </w:r>
            <w:proofErr w:type="spellEnd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sadarbība ar sociālajiem partneriem un tos </w:t>
            </w:r>
            <w:proofErr w:type="spellStart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pārstāvošām</w:t>
            </w:r>
            <w:proofErr w:type="spellEnd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organizācijām (asociācijas, biedrības, u.c.)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10B36927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2646C" w14:paraId="2E60610C" w14:textId="77777777" w:rsidTr="00912CDD">
        <w:trPr>
          <w:trHeight w:val="693"/>
        </w:trPr>
        <w:tc>
          <w:tcPr>
            <w:tcW w:w="299" w:type="pct"/>
            <w:vMerge/>
          </w:tcPr>
          <w:p w14:paraId="0725A216" w14:textId="77777777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49C7E1A3" w14:textId="77777777" w:rsidR="001A2314" w:rsidRPr="00727975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1427F42C" w14:textId="44F97C63" w:rsidR="001A2314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5.2. </w:t>
            </w:r>
            <w:proofErr w:type="spellStart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plānota</w:t>
            </w:r>
            <w:proofErr w:type="spellEnd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sadarbība izstrādāto risinājumu aprobācijā, izmantojot dažādas zinātniskās metodes, piemēram, intervijas, </w:t>
            </w:r>
            <w:proofErr w:type="spellStart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fokusgrupu</w:t>
            </w:r>
            <w:proofErr w:type="spellEnd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aptaujas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5BCEFA2C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1A2314" w:rsidRPr="0042646C" w14:paraId="6CA3CEC1" w14:textId="77777777" w:rsidTr="00912CDD">
        <w:trPr>
          <w:trHeight w:val="693"/>
        </w:trPr>
        <w:tc>
          <w:tcPr>
            <w:tcW w:w="299" w:type="pct"/>
            <w:vMerge/>
          </w:tcPr>
          <w:p w14:paraId="7A032F2F" w14:textId="77777777" w:rsidR="001A2314" w:rsidRPr="00282DCB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665" w:type="pct"/>
            <w:vMerge/>
          </w:tcPr>
          <w:p w14:paraId="67361030" w14:textId="77777777" w:rsidR="001A2314" w:rsidRPr="00727975" w:rsidRDefault="001A2314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2373" w:type="pct"/>
          </w:tcPr>
          <w:p w14:paraId="2017F3DB" w14:textId="6DFE6FDB" w:rsidR="001A2314" w:rsidRDefault="00444041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5.3. </w:t>
            </w:r>
            <w:proofErr w:type="spellStart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>plānota</w:t>
            </w:r>
            <w:proofErr w:type="spellEnd"/>
            <w:r w:rsidRPr="00444041">
              <w:rPr>
                <w:rFonts w:ascii="Times New Roman" w:hAnsi="Times New Roman"/>
                <w:i/>
                <w:color w:val="000000"/>
                <w:lang w:val="lv-LV"/>
              </w:rPr>
              <w:t xml:space="preserve"> pieredzes apmaiņa un programmas rezultātu apspriešana semināru vai konferenču veidā</w:t>
            </w:r>
            <w:r w:rsidR="0001341A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1341A">
              <w:rPr>
                <w:rFonts w:ascii="Times New Roman" w:hAnsi="Times New Roman"/>
                <w:i/>
                <w:lang w:val="lv-LV"/>
              </w:rPr>
              <w:t>[0,5 punkti]</w:t>
            </w:r>
          </w:p>
        </w:tc>
        <w:tc>
          <w:tcPr>
            <w:tcW w:w="663" w:type="pct"/>
          </w:tcPr>
          <w:p w14:paraId="51F2DA0C" w14:textId="77777777" w:rsidR="001A2314" w:rsidRPr="00477CE1" w:rsidRDefault="001A2314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</w:tr>
      <w:tr w:rsidR="00D6736D" w:rsidRPr="00D86432" w14:paraId="07D67BD8" w14:textId="77777777" w:rsidTr="00912CDD">
        <w:trPr>
          <w:trHeight w:val="305"/>
        </w:trPr>
        <w:tc>
          <w:tcPr>
            <w:tcW w:w="4337" w:type="pct"/>
            <w:gridSpan w:val="3"/>
            <w:shd w:val="clear" w:color="auto" w:fill="FFFFFF" w:themeFill="background1"/>
          </w:tcPr>
          <w:p w14:paraId="3220AC3E" w14:textId="41F5F765" w:rsidR="00D6736D" w:rsidRPr="0001341A" w:rsidRDefault="00D6736D" w:rsidP="00D67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iCs/>
                <w:color w:val="000000"/>
                <w:lang w:val="lv-LV"/>
              </w:rPr>
            </w:pPr>
            <w:r w:rsidRPr="0001341A">
              <w:rPr>
                <w:rFonts w:ascii="Times New Roman" w:hAnsi="Times New Roman"/>
                <w:b/>
                <w:iCs/>
                <w:color w:val="000000"/>
                <w:lang w:val="lv-LV"/>
              </w:rPr>
              <w:t>KOPĀ:</w:t>
            </w:r>
          </w:p>
        </w:tc>
        <w:tc>
          <w:tcPr>
            <w:tcW w:w="663" w:type="pct"/>
            <w:shd w:val="clear" w:color="auto" w:fill="FFFFFF" w:themeFill="background1"/>
          </w:tcPr>
          <w:p w14:paraId="2A7C9114" w14:textId="77777777" w:rsidR="00D6736D" w:rsidRPr="00282DCB" w:rsidRDefault="00D6736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1420C552" w:rsidR="0006732D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483E9648" w14:textId="77777777" w:rsidR="00D6736D" w:rsidRPr="00282DCB" w:rsidRDefault="00D6736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D6736D" w:rsidRPr="00282DCB" w:rsidSect="00E4152B">
      <w:head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66D17" w14:textId="77777777" w:rsidR="003D7AA4" w:rsidRDefault="003D7AA4" w:rsidP="00036815">
      <w:r>
        <w:separator/>
      </w:r>
    </w:p>
  </w:endnote>
  <w:endnote w:type="continuationSeparator" w:id="0">
    <w:p w14:paraId="61946801" w14:textId="77777777" w:rsidR="003D7AA4" w:rsidRDefault="003D7AA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0666C" w14:textId="77777777" w:rsidR="003D7AA4" w:rsidRDefault="003D7AA4" w:rsidP="00036815">
      <w:r>
        <w:separator/>
      </w:r>
    </w:p>
  </w:footnote>
  <w:footnote w:type="continuationSeparator" w:id="0">
    <w:p w14:paraId="1D6C6D43" w14:textId="77777777" w:rsidR="003D7AA4" w:rsidRDefault="003D7AA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341A"/>
    <w:rsid w:val="00015A0F"/>
    <w:rsid w:val="0003134F"/>
    <w:rsid w:val="00032E50"/>
    <w:rsid w:val="00036815"/>
    <w:rsid w:val="00040D6C"/>
    <w:rsid w:val="000429D8"/>
    <w:rsid w:val="00054030"/>
    <w:rsid w:val="000664F7"/>
    <w:rsid w:val="0006732D"/>
    <w:rsid w:val="00070B8F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6D99"/>
    <w:rsid w:val="001110BD"/>
    <w:rsid w:val="00113994"/>
    <w:rsid w:val="00154A7B"/>
    <w:rsid w:val="00164CF9"/>
    <w:rsid w:val="00166ED0"/>
    <w:rsid w:val="001922DA"/>
    <w:rsid w:val="0019578E"/>
    <w:rsid w:val="001A2314"/>
    <w:rsid w:val="001A2F78"/>
    <w:rsid w:val="001B0EE1"/>
    <w:rsid w:val="001D6588"/>
    <w:rsid w:val="001E6CBD"/>
    <w:rsid w:val="001F2143"/>
    <w:rsid w:val="001F6E86"/>
    <w:rsid w:val="00253E2A"/>
    <w:rsid w:val="002663D3"/>
    <w:rsid w:val="00267A56"/>
    <w:rsid w:val="002800A8"/>
    <w:rsid w:val="00282DCB"/>
    <w:rsid w:val="002A521C"/>
    <w:rsid w:val="002B0408"/>
    <w:rsid w:val="002B7668"/>
    <w:rsid w:val="002D0659"/>
    <w:rsid w:val="002F7A7B"/>
    <w:rsid w:val="003068F9"/>
    <w:rsid w:val="003176CF"/>
    <w:rsid w:val="00321811"/>
    <w:rsid w:val="00322974"/>
    <w:rsid w:val="0038075E"/>
    <w:rsid w:val="00385F62"/>
    <w:rsid w:val="003A0CF5"/>
    <w:rsid w:val="003A578B"/>
    <w:rsid w:val="003D7AA4"/>
    <w:rsid w:val="003E43E7"/>
    <w:rsid w:val="0040074C"/>
    <w:rsid w:val="004105D5"/>
    <w:rsid w:val="004165D0"/>
    <w:rsid w:val="0042646C"/>
    <w:rsid w:val="00440B51"/>
    <w:rsid w:val="00444041"/>
    <w:rsid w:val="00474B7C"/>
    <w:rsid w:val="00477CE1"/>
    <w:rsid w:val="00497F01"/>
    <w:rsid w:val="004B595B"/>
    <w:rsid w:val="004D38EF"/>
    <w:rsid w:val="0050551A"/>
    <w:rsid w:val="00505B14"/>
    <w:rsid w:val="0051481E"/>
    <w:rsid w:val="00514ABF"/>
    <w:rsid w:val="005559C4"/>
    <w:rsid w:val="00555D60"/>
    <w:rsid w:val="00562455"/>
    <w:rsid w:val="00584D8B"/>
    <w:rsid w:val="0059498D"/>
    <w:rsid w:val="005A5378"/>
    <w:rsid w:val="005B3481"/>
    <w:rsid w:val="005B6083"/>
    <w:rsid w:val="005B7C05"/>
    <w:rsid w:val="005D6EBC"/>
    <w:rsid w:val="00615469"/>
    <w:rsid w:val="006304CD"/>
    <w:rsid w:val="00633192"/>
    <w:rsid w:val="006574F3"/>
    <w:rsid w:val="006802CF"/>
    <w:rsid w:val="00683928"/>
    <w:rsid w:val="006A169F"/>
    <w:rsid w:val="006B2CC4"/>
    <w:rsid w:val="006D1FDE"/>
    <w:rsid w:val="006D21C5"/>
    <w:rsid w:val="006E6D39"/>
    <w:rsid w:val="00706227"/>
    <w:rsid w:val="00707771"/>
    <w:rsid w:val="007102A2"/>
    <w:rsid w:val="00714D68"/>
    <w:rsid w:val="00727975"/>
    <w:rsid w:val="00744625"/>
    <w:rsid w:val="00744F7A"/>
    <w:rsid w:val="00765643"/>
    <w:rsid w:val="00786388"/>
    <w:rsid w:val="007A25C9"/>
    <w:rsid w:val="007A3CF0"/>
    <w:rsid w:val="007B1C2B"/>
    <w:rsid w:val="007D091C"/>
    <w:rsid w:val="007D233F"/>
    <w:rsid w:val="007D448D"/>
    <w:rsid w:val="007E1990"/>
    <w:rsid w:val="007E5F68"/>
    <w:rsid w:val="007E6E59"/>
    <w:rsid w:val="00814503"/>
    <w:rsid w:val="008158F4"/>
    <w:rsid w:val="00821E3E"/>
    <w:rsid w:val="008258D7"/>
    <w:rsid w:val="00852418"/>
    <w:rsid w:val="00853D32"/>
    <w:rsid w:val="0087421F"/>
    <w:rsid w:val="008768A9"/>
    <w:rsid w:val="0088119A"/>
    <w:rsid w:val="00884520"/>
    <w:rsid w:val="0088594F"/>
    <w:rsid w:val="0088664F"/>
    <w:rsid w:val="008A186E"/>
    <w:rsid w:val="008A5ABA"/>
    <w:rsid w:val="008B294A"/>
    <w:rsid w:val="008B5EE3"/>
    <w:rsid w:val="008D6262"/>
    <w:rsid w:val="00912CDD"/>
    <w:rsid w:val="00920FB8"/>
    <w:rsid w:val="00927599"/>
    <w:rsid w:val="00935458"/>
    <w:rsid w:val="00943C7A"/>
    <w:rsid w:val="00954B9D"/>
    <w:rsid w:val="009638BF"/>
    <w:rsid w:val="00971335"/>
    <w:rsid w:val="0097405F"/>
    <w:rsid w:val="00976732"/>
    <w:rsid w:val="009A1397"/>
    <w:rsid w:val="009C439F"/>
    <w:rsid w:val="009E3411"/>
    <w:rsid w:val="009E4953"/>
    <w:rsid w:val="009E7FC8"/>
    <w:rsid w:val="00A21134"/>
    <w:rsid w:val="00A254F3"/>
    <w:rsid w:val="00A31893"/>
    <w:rsid w:val="00A66E69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AF5697"/>
    <w:rsid w:val="00B10B8E"/>
    <w:rsid w:val="00B1393C"/>
    <w:rsid w:val="00B34B0C"/>
    <w:rsid w:val="00B4714F"/>
    <w:rsid w:val="00B7498E"/>
    <w:rsid w:val="00B907FE"/>
    <w:rsid w:val="00BA2A1F"/>
    <w:rsid w:val="00BD40B8"/>
    <w:rsid w:val="00BF2CF8"/>
    <w:rsid w:val="00BF50F0"/>
    <w:rsid w:val="00C17404"/>
    <w:rsid w:val="00C24E35"/>
    <w:rsid w:val="00C426EA"/>
    <w:rsid w:val="00C44033"/>
    <w:rsid w:val="00C555E0"/>
    <w:rsid w:val="00C55680"/>
    <w:rsid w:val="00C640C4"/>
    <w:rsid w:val="00C6432A"/>
    <w:rsid w:val="00C727D6"/>
    <w:rsid w:val="00C80E80"/>
    <w:rsid w:val="00C83981"/>
    <w:rsid w:val="00C96AA4"/>
    <w:rsid w:val="00CA1E0E"/>
    <w:rsid w:val="00CB0931"/>
    <w:rsid w:val="00CB4465"/>
    <w:rsid w:val="00CC4FE2"/>
    <w:rsid w:val="00CD4BB5"/>
    <w:rsid w:val="00CE1CA9"/>
    <w:rsid w:val="00D13B3A"/>
    <w:rsid w:val="00D437BC"/>
    <w:rsid w:val="00D6736D"/>
    <w:rsid w:val="00D86432"/>
    <w:rsid w:val="00D90FB8"/>
    <w:rsid w:val="00D94009"/>
    <w:rsid w:val="00DC3019"/>
    <w:rsid w:val="00DC320A"/>
    <w:rsid w:val="00DC3FEC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F001C0"/>
    <w:rsid w:val="00F07C85"/>
    <w:rsid w:val="00F1227E"/>
    <w:rsid w:val="00F172C3"/>
    <w:rsid w:val="00F503BE"/>
    <w:rsid w:val="00F6181F"/>
    <w:rsid w:val="00F95731"/>
    <w:rsid w:val="00F96327"/>
    <w:rsid w:val="00FB1EE2"/>
    <w:rsid w:val="00FB2795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72AF68A432440484377255C6F60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93F72-62B6-4227-AA7A-F2D86488BA3E}"/>
      </w:docPartPr>
      <w:docPartBody>
        <w:p w:rsidR="006276A3" w:rsidRDefault="0065454C" w:rsidP="0065454C">
          <w:pPr>
            <w:pStyle w:val="8F72AF68A432440484377255C6F60E2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54C"/>
    <w:rsid w:val="00565482"/>
    <w:rsid w:val="006276A3"/>
    <w:rsid w:val="0065454C"/>
    <w:rsid w:val="00662531"/>
    <w:rsid w:val="00F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54C"/>
  </w:style>
  <w:style w:type="paragraph" w:customStyle="1" w:styleId="E1371B22B8FC46A2A1820A0265E603A3">
    <w:name w:val="E1371B22B8FC46A2A1820A0265E603A3"/>
    <w:rsid w:val="0065454C"/>
  </w:style>
  <w:style w:type="paragraph" w:customStyle="1" w:styleId="8F72AF68A432440484377255C6F60E2E">
    <w:name w:val="8F72AF68A432440484377255C6F60E2E"/>
    <w:rsid w:val="0065454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54C"/>
  </w:style>
  <w:style w:type="paragraph" w:customStyle="1" w:styleId="E1371B22B8FC46A2A1820A0265E603A3">
    <w:name w:val="E1371B22B8FC46A2A1820A0265E603A3"/>
    <w:rsid w:val="0065454C"/>
  </w:style>
  <w:style w:type="paragraph" w:customStyle="1" w:styleId="8F72AF68A432440484377255C6F60E2E">
    <w:name w:val="8F72AF68A432440484377255C6F60E2E"/>
    <w:rsid w:val="006545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3266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Metodika projekta pieteikuma atbilstības izvērtēšanai pēc nozares specifiskajiem kritērijiem</cp:keywords>
  <dc:description>26007351, ingmars.kreismanis@lzp.gov.lv;_x000d_
67026558, kristine.kedo@varam.gov.lv</dc:description>
  <cp:lastModifiedBy>Viesis</cp:lastModifiedBy>
  <cp:revision>3</cp:revision>
  <dcterms:created xsi:type="dcterms:W3CDTF">2020-07-07T10:33:00Z</dcterms:created>
  <dcterms:modified xsi:type="dcterms:W3CDTF">2020-07-15T07:56:00Z</dcterms:modified>
</cp:coreProperties>
</file>