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96681" w14:textId="58FE14AA" w:rsidR="007102A2" w:rsidRPr="007102A2" w:rsidRDefault="006A169F" w:rsidP="007102A2">
      <w:pPr>
        <w:jc w:val="right"/>
        <w:rPr>
          <w:rFonts w:ascii="Times New Roman" w:hAnsi="Times New Roman"/>
          <w:b/>
          <w:lang w:val="lv-LV"/>
        </w:rPr>
      </w:pPr>
      <w:r>
        <w:rPr>
          <w:rFonts w:ascii="Times New Roman" w:hAnsi="Times New Roman"/>
          <w:b/>
          <w:lang w:val="lv-LV"/>
        </w:rPr>
        <w:t>11</w:t>
      </w:r>
      <w:r w:rsidR="007102A2" w:rsidRPr="00615469">
        <w:rPr>
          <w:rFonts w:ascii="Times New Roman" w:hAnsi="Times New Roman"/>
          <w:b/>
          <w:lang w:val="lv-LV"/>
        </w:rPr>
        <w:t>. pielikums</w:t>
      </w:r>
      <w:r w:rsidR="007102A2" w:rsidRPr="007102A2">
        <w:rPr>
          <w:rFonts w:ascii="Times New Roman" w:hAnsi="Times New Roman"/>
          <w:b/>
          <w:lang w:val="lv-LV"/>
        </w:rPr>
        <w:t xml:space="preserve"> </w:t>
      </w:r>
    </w:p>
    <w:p w14:paraId="4ECAD39C" w14:textId="2FECE135" w:rsidR="004D1BBF" w:rsidRDefault="002A521C" w:rsidP="004D1BBF">
      <w:pPr>
        <w:jc w:val="right"/>
        <w:rPr>
          <w:rFonts w:ascii="Times New Roman" w:hAnsi="Times New Roman"/>
          <w:lang w:val="lv-LV"/>
        </w:rPr>
      </w:pPr>
      <w:r w:rsidRPr="002A521C">
        <w:rPr>
          <w:rFonts w:ascii="Times New Roman" w:hAnsi="Times New Roman"/>
          <w:lang w:val="lv-LV"/>
        </w:rPr>
        <w:t xml:space="preserve">Valsts pētījumu programmas </w:t>
      </w:r>
      <w:r w:rsidR="00D6736D">
        <w:rPr>
          <w:rFonts w:ascii="Times New Roman" w:hAnsi="Times New Roman"/>
          <w:lang w:val="lv-LV"/>
        </w:rPr>
        <w:t>“Enerģētika”</w:t>
      </w:r>
      <w:r w:rsidR="004D1BBF">
        <w:rPr>
          <w:rFonts w:ascii="Times New Roman" w:hAnsi="Times New Roman"/>
          <w:lang w:val="lv-LV"/>
        </w:rPr>
        <w:t xml:space="preserve"> atklāta </w:t>
      </w:r>
      <w:r w:rsidRPr="002A521C">
        <w:rPr>
          <w:rFonts w:ascii="Times New Roman" w:hAnsi="Times New Roman"/>
          <w:lang w:val="lv-LV"/>
        </w:rPr>
        <w:t xml:space="preserve">projektu </w:t>
      </w:r>
      <w:r w:rsidR="00FB342C">
        <w:rPr>
          <w:rFonts w:ascii="Times New Roman" w:hAnsi="Times New Roman"/>
          <w:lang w:val="lv-LV"/>
        </w:rPr>
        <w:t xml:space="preserve">pieteikumu </w:t>
      </w:r>
      <w:r w:rsidRPr="002A521C">
        <w:rPr>
          <w:rFonts w:ascii="Times New Roman" w:hAnsi="Times New Roman"/>
          <w:lang w:val="lv-LV"/>
        </w:rPr>
        <w:t xml:space="preserve">konkursa </w:t>
      </w:r>
    </w:p>
    <w:p w14:paraId="001CFFF6" w14:textId="6358553C" w:rsidR="002A521C" w:rsidRDefault="00D6736D" w:rsidP="004D1BBF">
      <w:pPr>
        <w:jc w:val="right"/>
        <w:rPr>
          <w:rFonts w:ascii="Times New Roman" w:hAnsi="Times New Roman"/>
          <w:lang w:val="lv-LV"/>
        </w:rPr>
      </w:pPr>
      <w:r>
        <w:rPr>
          <w:rFonts w:ascii="Times New Roman" w:hAnsi="Times New Roman"/>
          <w:lang w:val="lv-LV"/>
        </w:rPr>
        <w:t>“</w:t>
      </w:r>
      <w:r w:rsidRPr="00D6736D">
        <w:rPr>
          <w:rFonts w:ascii="Times New Roman" w:hAnsi="Times New Roman"/>
          <w:lang w:val="lv-LV"/>
        </w:rPr>
        <w:t>Valsts ilgtermiņa enerģētikas politikas plānošanas analītiskais ietvars</w:t>
      </w:r>
      <w:r>
        <w:rPr>
          <w:rFonts w:ascii="Times New Roman" w:hAnsi="Times New Roman"/>
          <w:lang w:val="lv-LV"/>
        </w:rPr>
        <w:t xml:space="preserve">” </w:t>
      </w:r>
      <w:r w:rsidR="002A521C" w:rsidRPr="002A521C">
        <w:rPr>
          <w:rFonts w:ascii="Times New Roman" w:hAnsi="Times New Roman"/>
          <w:lang w:val="lv-LV"/>
        </w:rPr>
        <w:t>nolikuma</w:t>
      </w:r>
      <w:r w:rsidR="007102A2">
        <w:rPr>
          <w:rFonts w:ascii="Times New Roman" w:hAnsi="Times New Roman"/>
          <w:lang w:val="lv-LV"/>
        </w:rPr>
        <w:t>m</w:t>
      </w:r>
    </w:p>
    <w:p w14:paraId="33774FE6" w14:textId="77777777" w:rsidR="0088664F" w:rsidRPr="00282DCB" w:rsidRDefault="0088664F" w:rsidP="00054030">
      <w:pPr>
        <w:jc w:val="right"/>
        <w:rPr>
          <w:rFonts w:ascii="Times New Roman" w:hAnsi="Times New Roman"/>
          <w:b/>
          <w:lang w:val="lv-LV"/>
        </w:rPr>
      </w:pPr>
    </w:p>
    <w:p w14:paraId="133DEA66" w14:textId="067514B9" w:rsidR="006802CF" w:rsidRPr="00282DCB" w:rsidRDefault="0000727F" w:rsidP="006802CF">
      <w:pPr>
        <w:keepNext/>
        <w:jc w:val="center"/>
        <w:outlineLvl w:val="0"/>
        <w:rPr>
          <w:rFonts w:ascii="Times New Roman" w:eastAsiaTheme="majorEastAsia" w:hAnsi="Times New Roman"/>
          <w:b/>
          <w:bCs/>
          <w:kern w:val="32"/>
          <w:lang w:val="lv-LV" w:bidi="ar-SA"/>
        </w:rPr>
      </w:pPr>
      <w:r w:rsidRPr="00282DCB">
        <w:rPr>
          <w:rFonts w:ascii="Times New Roman" w:eastAsiaTheme="majorEastAsia" w:hAnsi="Times New Roman"/>
          <w:b/>
          <w:bCs/>
          <w:kern w:val="32"/>
          <w:lang w:val="lv-LV" w:bidi="ar-SA"/>
        </w:rPr>
        <w:t xml:space="preserve">Metodika projekta pieteikuma atbilstības izvērtēšanai </w:t>
      </w:r>
      <w:r w:rsidR="009A1397">
        <w:rPr>
          <w:rFonts w:ascii="Times New Roman" w:eastAsiaTheme="majorEastAsia" w:hAnsi="Times New Roman"/>
          <w:b/>
          <w:bCs/>
          <w:kern w:val="32"/>
          <w:lang w:val="lv-LV" w:bidi="ar-SA"/>
        </w:rPr>
        <w:t>pēc nozares specifiskajiem</w:t>
      </w:r>
      <w:r w:rsidRPr="00282DCB">
        <w:rPr>
          <w:rFonts w:ascii="Times New Roman" w:eastAsiaTheme="majorEastAsia" w:hAnsi="Times New Roman"/>
          <w:b/>
          <w:bCs/>
          <w:kern w:val="32"/>
          <w:lang w:val="lv-LV" w:bidi="ar-SA"/>
        </w:rPr>
        <w:t xml:space="preserve"> kritērijiem</w:t>
      </w:r>
    </w:p>
    <w:p w14:paraId="49560905" w14:textId="77777777" w:rsidR="006802CF" w:rsidRPr="00282DCB" w:rsidRDefault="006802CF" w:rsidP="006802CF">
      <w:pPr>
        <w:spacing w:line="276" w:lineRule="auto"/>
        <w:jc w:val="both"/>
        <w:rPr>
          <w:rFonts w:ascii="Times New Roman" w:eastAsia="Calibri" w:hAnsi="Times New Roman"/>
          <w:lang w:val="lv-LV" w:bidi="ar-SA"/>
        </w:rPr>
      </w:pPr>
    </w:p>
    <w:p w14:paraId="78EE623C" w14:textId="525CA63A" w:rsidR="00E762EF" w:rsidRDefault="006802CF" w:rsidP="0000727F">
      <w:pPr>
        <w:contextualSpacing/>
        <w:jc w:val="both"/>
        <w:rPr>
          <w:rFonts w:ascii="Times New Roman" w:eastAsia="Calibri" w:hAnsi="Times New Roman"/>
          <w:lang w:val="lv-LV" w:bidi="ar-SA"/>
        </w:rPr>
      </w:pPr>
      <w:r w:rsidRPr="00282DCB">
        <w:rPr>
          <w:rFonts w:ascii="Times New Roman" w:eastAsia="Calibri" w:hAnsi="Times New Roman"/>
          <w:lang w:val="lv-LV" w:bidi="ar-SA"/>
        </w:rPr>
        <w:tab/>
      </w:r>
      <w:r w:rsidR="0000727F" w:rsidRPr="00282DCB">
        <w:rPr>
          <w:rFonts w:ascii="Times New Roman" w:eastAsia="Calibri" w:hAnsi="Times New Roman"/>
          <w:lang w:val="lv-LV" w:bidi="ar-SA"/>
        </w:rPr>
        <w:t xml:space="preserve">1. </w:t>
      </w:r>
      <w:r w:rsidR="00E762EF" w:rsidRPr="00282DCB">
        <w:rPr>
          <w:rFonts w:ascii="Times New Roman" w:eastAsia="Calibri" w:hAnsi="Times New Roman"/>
          <w:lang w:val="lv-LV" w:bidi="ar-SA"/>
        </w:rPr>
        <w:t>Metodika</w:t>
      </w:r>
      <w:r w:rsidR="007102A2">
        <w:rPr>
          <w:rFonts w:ascii="Times New Roman" w:eastAsia="Calibri" w:hAnsi="Times New Roman"/>
          <w:lang w:val="lv-LV" w:bidi="ar-SA"/>
        </w:rPr>
        <w:t xml:space="preserve"> </w:t>
      </w:r>
      <w:r w:rsidR="00E762EF" w:rsidRPr="00282DCB">
        <w:rPr>
          <w:rFonts w:ascii="Times New Roman" w:eastAsia="Calibri" w:hAnsi="Times New Roman"/>
          <w:lang w:val="lv-LV" w:bidi="ar-SA"/>
        </w:rPr>
        <w:t>izstrādāta</w:t>
      </w:r>
      <w:r w:rsidR="002B7668">
        <w:rPr>
          <w:rFonts w:ascii="Times New Roman" w:eastAsia="Calibri" w:hAnsi="Times New Roman"/>
          <w:lang w:val="lv-LV" w:bidi="ar-SA"/>
        </w:rPr>
        <w:t>,</w:t>
      </w:r>
      <w:r w:rsidR="00E762EF" w:rsidRPr="00282DCB">
        <w:rPr>
          <w:rFonts w:ascii="Times New Roman" w:eastAsia="Calibri" w:hAnsi="Times New Roman"/>
          <w:lang w:val="lv-LV" w:bidi="ar-SA"/>
        </w:rPr>
        <w:t xml:space="preserve"> </w:t>
      </w:r>
      <w:r w:rsidR="002B7668">
        <w:rPr>
          <w:rFonts w:ascii="Times New Roman" w:eastAsia="Calibri" w:hAnsi="Times New Roman"/>
          <w:lang w:val="lv-LV" w:bidi="ar-SA"/>
        </w:rPr>
        <w:t>ievērojot</w:t>
      </w:r>
      <w:r w:rsidR="00E762EF" w:rsidRPr="00282DCB">
        <w:rPr>
          <w:rFonts w:ascii="Times New Roman" w:eastAsia="Calibri" w:hAnsi="Times New Roman"/>
          <w:lang w:val="lv-LV" w:bidi="ar-SA"/>
        </w:rPr>
        <w:t xml:space="preserve"> Ministru kabineta 2</w:t>
      </w:r>
      <w:r w:rsidR="002B7668">
        <w:rPr>
          <w:rFonts w:ascii="Times New Roman" w:eastAsia="Calibri" w:hAnsi="Times New Roman"/>
          <w:lang w:val="lv-LV" w:bidi="ar-SA"/>
        </w:rPr>
        <w:t>018. gada 4. augusta noteikumus</w:t>
      </w:r>
      <w:r w:rsidR="00E762EF" w:rsidRPr="00282DCB">
        <w:rPr>
          <w:rFonts w:ascii="Times New Roman" w:eastAsia="Calibri" w:hAnsi="Times New Roman"/>
          <w:lang w:val="lv-LV" w:bidi="ar-SA"/>
        </w:rPr>
        <w:t xml:space="preserve"> Nr. 560 „Valsts pētījumu programmu projektu īstenošanas kār</w:t>
      </w:r>
      <w:r w:rsidR="007102A2">
        <w:rPr>
          <w:rFonts w:ascii="Times New Roman" w:eastAsia="Calibri" w:hAnsi="Times New Roman"/>
          <w:lang w:val="lv-LV" w:bidi="ar-SA"/>
        </w:rPr>
        <w:t>t</w:t>
      </w:r>
      <w:r w:rsidR="00E762EF" w:rsidRPr="00282DCB">
        <w:rPr>
          <w:rFonts w:ascii="Times New Roman" w:eastAsia="Calibri" w:hAnsi="Times New Roman"/>
          <w:lang w:val="lv-LV" w:bidi="ar-SA"/>
        </w:rPr>
        <w:t xml:space="preserve">ība” (turpmāk – noteikumi) un </w:t>
      </w:r>
      <w:r w:rsidR="00EF1CA2" w:rsidRPr="00EF1CA2">
        <w:rPr>
          <w:rFonts w:ascii="Times New Roman" w:eastAsia="Calibri" w:hAnsi="Times New Roman"/>
          <w:lang w:val="lv-LV" w:bidi="ar-SA"/>
        </w:rPr>
        <w:t>Valsts pētījumu programmas “</w:t>
      </w:r>
      <w:r w:rsidR="009A1397">
        <w:rPr>
          <w:rFonts w:ascii="Times New Roman" w:eastAsia="Calibri" w:hAnsi="Times New Roman"/>
          <w:lang w:val="lv-LV" w:bidi="ar-SA"/>
        </w:rPr>
        <w:t>Enerģētika</w:t>
      </w:r>
      <w:r w:rsidR="00EF1CA2" w:rsidRPr="00EF1CA2">
        <w:rPr>
          <w:rFonts w:ascii="Times New Roman" w:eastAsia="Calibri" w:hAnsi="Times New Roman"/>
          <w:lang w:val="lv-LV" w:bidi="ar-SA"/>
        </w:rPr>
        <w:t>” īstenošanas un uzraudzības komisijas</w:t>
      </w:r>
      <w:r w:rsidR="002B7668">
        <w:rPr>
          <w:rFonts w:ascii="Times New Roman" w:eastAsia="Calibri" w:hAnsi="Times New Roman"/>
          <w:lang w:val="lv-LV" w:bidi="ar-SA"/>
        </w:rPr>
        <w:t xml:space="preserve"> (turpmāk –</w:t>
      </w:r>
      <w:r w:rsidR="00CD4BB5">
        <w:rPr>
          <w:rFonts w:ascii="Times New Roman" w:eastAsia="Calibri" w:hAnsi="Times New Roman"/>
          <w:lang w:val="lv-LV" w:bidi="ar-SA"/>
        </w:rPr>
        <w:t xml:space="preserve"> </w:t>
      </w:r>
      <w:r w:rsidR="002B7668">
        <w:rPr>
          <w:rFonts w:ascii="Times New Roman" w:eastAsia="Calibri" w:hAnsi="Times New Roman"/>
          <w:lang w:val="lv-LV" w:bidi="ar-SA"/>
        </w:rPr>
        <w:t>komisija)</w:t>
      </w:r>
      <w:r w:rsidR="00EF1CA2" w:rsidRPr="00EF1CA2">
        <w:rPr>
          <w:rFonts w:ascii="Times New Roman" w:eastAsia="Calibri" w:hAnsi="Times New Roman"/>
          <w:lang w:val="lv-LV" w:bidi="ar-SA"/>
        </w:rPr>
        <w:t xml:space="preserve"> 2018. gada </w:t>
      </w:r>
      <w:r w:rsidR="00FB342C">
        <w:rPr>
          <w:rFonts w:ascii="Times New Roman" w:eastAsia="Calibri" w:hAnsi="Times New Roman"/>
          <w:lang w:val="lv-LV" w:bidi="ar-SA"/>
        </w:rPr>
        <w:t>8.oktobrī</w:t>
      </w:r>
      <w:bookmarkStart w:id="0" w:name="_GoBack"/>
      <w:bookmarkEnd w:id="0"/>
      <w:r w:rsidR="00EF1CA2" w:rsidRPr="00EF1CA2">
        <w:rPr>
          <w:rFonts w:ascii="Times New Roman" w:eastAsia="Calibri" w:hAnsi="Times New Roman"/>
          <w:lang w:val="lv-LV" w:bidi="ar-SA"/>
        </w:rPr>
        <w:t xml:space="preserve"> apstiprināto </w:t>
      </w:r>
      <w:r w:rsidR="004D1BBF">
        <w:rPr>
          <w:rFonts w:ascii="Times New Roman" w:eastAsia="Calibri" w:hAnsi="Times New Roman"/>
          <w:lang w:val="lv-LV" w:bidi="ar-SA"/>
        </w:rPr>
        <w:t xml:space="preserve">atklāta </w:t>
      </w:r>
      <w:r w:rsidR="00EF1CA2" w:rsidRPr="00EF1CA2">
        <w:rPr>
          <w:rFonts w:ascii="Times New Roman" w:eastAsia="Calibri" w:hAnsi="Times New Roman"/>
          <w:lang w:val="lv-LV" w:bidi="ar-SA"/>
        </w:rPr>
        <w:t xml:space="preserve">projektu </w:t>
      </w:r>
      <w:r w:rsidR="00FB342C">
        <w:rPr>
          <w:rFonts w:ascii="Times New Roman" w:eastAsia="Calibri" w:hAnsi="Times New Roman"/>
          <w:lang w:val="lv-LV" w:bidi="ar-SA"/>
        </w:rPr>
        <w:t xml:space="preserve">pieteikumu </w:t>
      </w:r>
      <w:r w:rsidR="00EF1CA2" w:rsidRPr="00EF1CA2">
        <w:rPr>
          <w:rFonts w:ascii="Times New Roman" w:eastAsia="Calibri" w:hAnsi="Times New Roman"/>
          <w:lang w:val="lv-LV" w:bidi="ar-SA"/>
        </w:rPr>
        <w:t xml:space="preserve">konkursa </w:t>
      </w:r>
      <w:r w:rsidR="009A1397">
        <w:rPr>
          <w:rFonts w:ascii="Times New Roman" w:eastAsia="Calibri" w:hAnsi="Times New Roman"/>
          <w:lang w:val="lv-LV" w:bidi="ar-SA"/>
        </w:rPr>
        <w:t>“</w:t>
      </w:r>
      <w:r w:rsidR="009A1397" w:rsidRPr="00D6736D">
        <w:rPr>
          <w:rFonts w:ascii="Times New Roman" w:hAnsi="Times New Roman"/>
          <w:lang w:val="lv-LV"/>
        </w:rPr>
        <w:t>Valsts ilgtermiņa enerģētikas politikas plānošanas analītiskais ietvars</w:t>
      </w:r>
      <w:r w:rsidR="009A1397">
        <w:rPr>
          <w:rFonts w:ascii="Times New Roman" w:eastAsia="Calibri" w:hAnsi="Times New Roman"/>
          <w:lang w:val="lv-LV" w:bidi="ar-SA"/>
        </w:rPr>
        <w:t xml:space="preserve">” </w:t>
      </w:r>
      <w:r w:rsidR="00EF1CA2" w:rsidRPr="00EF1CA2">
        <w:rPr>
          <w:rFonts w:ascii="Times New Roman" w:eastAsia="Calibri" w:hAnsi="Times New Roman"/>
          <w:lang w:val="lv-LV" w:bidi="ar-SA"/>
        </w:rPr>
        <w:t>nolikumu (turpmāk – nolikums)</w:t>
      </w:r>
      <w:r w:rsidR="00EF1CA2">
        <w:rPr>
          <w:rFonts w:ascii="Times New Roman" w:eastAsia="Calibri" w:hAnsi="Times New Roman"/>
          <w:lang w:val="lv-LV" w:bidi="ar-SA"/>
        </w:rPr>
        <w:t>.</w:t>
      </w:r>
    </w:p>
    <w:p w14:paraId="32A9FF19" w14:textId="77777777" w:rsidR="00EF1CA2" w:rsidRPr="00282DCB" w:rsidRDefault="00EF1CA2" w:rsidP="0000727F">
      <w:pPr>
        <w:contextualSpacing/>
        <w:jc w:val="both"/>
        <w:rPr>
          <w:rFonts w:ascii="Times New Roman" w:eastAsia="Calibri" w:hAnsi="Times New Roman"/>
          <w:lang w:val="lv-LV" w:bidi="ar-SA"/>
        </w:rPr>
      </w:pPr>
    </w:p>
    <w:p w14:paraId="6B8950A4" w14:textId="425D509B" w:rsidR="006802CF" w:rsidRDefault="0000727F" w:rsidP="0000727F">
      <w:pPr>
        <w:ind w:firstLine="720"/>
        <w:contextualSpacing/>
        <w:jc w:val="both"/>
        <w:rPr>
          <w:rFonts w:ascii="Times New Roman" w:eastAsia="Calibri" w:hAnsi="Times New Roman"/>
          <w:lang w:val="lv-LV" w:bidi="ar-SA"/>
        </w:rPr>
      </w:pPr>
      <w:r w:rsidRPr="00282DCB">
        <w:rPr>
          <w:rFonts w:ascii="Times New Roman" w:eastAsia="Calibri" w:hAnsi="Times New Roman"/>
          <w:lang w:val="lv-LV" w:bidi="ar-SA"/>
        </w:rPr>
        <w:t xml:space="preserve">2. Projekta pieteikuma atbilstību </w:t>
      </w:r>
      <w:r w:rsidR="00CD4BB5">
        <w:rPr>
          <w:rFonts w:ascii="Times New Roman" w:eastAsia="Calibri" w:hAnsi="Times New Roman"/>
          <w:lang w:val="lv-LV" w:bidi="ar-SA"/>
        </w:rPr>
        <w:t>n</w:t>
      </w:r>
      <w:r w:rsidR="00CD4BB5" w:rsidRPr="00CD4BB5">
        <w:rPr>
          <w:rFonts w:ascii="Times New Roman" w:eastAsia="Calibri" w:hAnsi="Times New Roman"/>
          <w:lang w:val="lv-LV" w:bidi="ar-SA"/>
        </w:rPr>
        <w:t>olikuma 45.1.–45.6. apakšpunktā minētajiem nozares specifiskajiem kritērijiem</w:t>
      </w:r>
      <w:r w:rsidR="00CD4BB5">
        <w:rPr>
          <w:rFonts w:ascii="Times New Roman" w:eastAsia="Calibri" w:hAnsi="Times New Roman"/>
          <w:lang w:val="lv-LV" w:bidi="ar-SA"/>
        </w:rPr>
        <w:t xml:space="preserve"> </w:t>
      </w:r>
      <w:r w:rsidRPr="00282DCB">
        <w:rPr>
          <w:rFonts w:ascii="Times New Roman" w:eastAsia="Calibri" w:hAnsi="Times New Roman"/>
          <w:lang w:val="lv-LV" w:bidi="ar-SA"/>
        </w:rPr>
        <w:t xml:space="preserve">izvērtē </w:t>
      </w:r>
      <w:r w:rsidR="00CD4BB5">
        <w:rPr>
          <w:rFonts w:ascii="Times New Roman" w:eastAsia="Calibri" w:hAnsi="Times New Roman"/>
          <w:lang w:val="lv-LV" w:bidi="ar-SA"/>
        </w:rPr>
        <w:t>komisija</w:t>
      </w:r>
      <w:r w:rsidRPr="00282DCB">
        <w:rPr>
          <w:rFonts w:ascii="Times New Roman" w:eastAsia="Calibri" w:hAnsi="Times New Roman"/>
          <w:lang w:val="lv-LV" w:bidi="ar-SA"/>
        </w:rPr>
        <w:t xml:space="preserve"> </w:t>
      </w:r>
      <w:r w:rsidR="00E762EF" w:rsidRPr="00282DCB">
        <w:rPr>
          <w:rFonts w:ascii="Times New Roman" w:eastAsia="Calibri" w:hAnsi="Times New Roman"/>
          <w:lang w:val="lv-LV" w:bidi="ar-SA"/>
        </w:rPr>
        <w:t xml:space="preserve">divu nedēļu laikā </w:t>
      </w:r>
      <w:r w:rsidR="007102A2">
        <w:rPr>
          <w:rFonts w:ascii="Times New Roman" w:eastAsia="Calibri" w:hAnsi="Times New Roman"/>
          <w:lang w:val="lv-LV" w:bidi="ar-SA"/>
        </w:rPr>
        <w:t>no</w:t>
      </w:r>
      <w:r w:rsidR="00E762EF" w:rsidRPr="00282DCB">
        <w:rPr>
          <w:rFonts w:ascii="Times New Roman" w:eastAsia="Calibri" w:hAnsi="Times New Roman"/>
          <w:lang w:val="lv-LV" w:bidi="ar-SA"/>
        </w:rPr>
        <w:t xml:space="preserve"> </w:t>
      </w:r>
      <w:r w:rsidR="00CD4BB5" w:rsidRPr="00CD4BB5">
        <w:rPr>
          <w:rFonts w:ascii="Times New Roman" w:eastAsia="Calibri" w:hAnsi="Times New Roman"/>
          <w:lang w:val="lv-LV" w:bidi="ar-SA"/>
        </w:rPr>
        <w:t>ekspertīzes vērtēj</w:t>
      </w:r>
      <w:r w:rsidR="00CD4BB5">
        <w:rPr>
          <w:rFonts w:ascii="Times New Roman" w:eastAsia="Calibri" w:hAnsi="Times New Roman"/>
          <w:lang w:val="lv-LV" w:bidi="ar-SA"/>
        </w:rPr>
        <w:t>uma projektu pieteikumu saraksta saņemšanas</w:t>
      </w:r>
      <w:r w:rsidRPr="00282DCB">
        <w:rPr>
          <w:rFonts w:ascii="Times New Roman" w:eastAsia="Calibri" w:hAnsi="Times New Roman"/>
          <w:lang w:val="lv-LV" w:bidi="ar-SA"/>
        </w:rPr>
        <w:t>.</w:t>
      </w:r>
    </w:p>
    <w:p w14:paraId="10EA2726" w14:textId="01EC924F" w:rsidR="00CD4BB5" w:rsidRDefault="00CD4BB5" w:rsidP="0000727F">
      <w:pPr>
        <w:ind w:firstLine="720"/>
        <w:contextualSpacing/>
        <w:jc w:val="both"/>
        <w:rPr>
          <w:rFonts w:ascii="Times New Roman" w:eastAsia="Calibri" w:hAnsi="Times New Roman"/>
          <w:lang w:val="lv-LV" w:bidi="ar-SA"/>
        </w:rPr>
      </w:pPr>
    </w:p>
    <w:p w14:paraId="35758F9C" w14:textId="2F93D5EE" w:rsidR="00CD4BB5" w:rsidRDefault="00CD4BB5"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3</w:t>
      </w:r>
      <w:r w:rsidRPr="00CD4BB5">
        <w:rPr>
          <w:rFonts w:ascii="Times New Roman" w:eastAsia="Calibri" w:hAnsi="Times New Roman"/>
          <w:lang w:val="lv-LV" w:bidi="ar-SA"/>
        </w:rPr>
        <w:t>. Katru projekta pieteikuma atbilstību nozares specifiskajiem vērtēšanas kritērijiem vērtē vismaz divi komisijas balsstiesīgie locekļi vai komisijas pieaicinātie eksperti, aizpildot individuālo nozares specifisko kritēriju vērtēšanas veidlapu.</w:t>
      </w:r>
    </w:p>
    <w:p w14:paraId="5582DEB5" w14:textId="18A69807" w:rsidR="00D437BC" w:rsidRDefault="00D437BC" w:rsidP="00CD4BB5">
      <w:pPr>
        <w:ind w:firstLine="720"/>
        <w:contextualSpacing/>
        <w:jc w:val="both"/>
        <w:rPr>
          <w:rFonts w:ascii="Times New Roman" w:eastAsia="Calibri" w:hAnsi="Times New Roman"/>
          <w:lang w:val="lv-LV" w:bidi="ar-SA"/>
        </w:rPr>
      </w:pPr>
    </w:p>
    <w:p w14:paraId="4A2308F4" w14:textId="2E753226" w:rsidR="00D437BC" w:rsidRDefault="00F6181F"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 xml:space="preserve">4. </w:t>
      </w:r>
      <w:r w:rsidR="00D437BC">
        <w:rPr>
          <w:rFonts w:ascii="Times New Roman" w:eastAsia="Calibri" w:hAnsi="Times New Roman"/>
          <w:lang w:val="lv-LV" w:bidi="ar-SA"/>
        </w:rPr>
        <w:t>Individuālajā vērtējumā katrs kritērijs tiek izvērtēts piešķirot maksimums 3 punktus</w:t>
      </w:r>
      <w:r>
        <w:rPr>
          <w:rFonts w:ascii="Times New Roman" w:eastAsia="Calibri" w:hAnsi="Times New Roman"/>
          <w:lang w:val="lv-LV" w:bidi="ar-SA"/>
        </w:rPr>
        <w:t xml:space="preserve"> – 1 punkts par katru zemāk tabulā atsevišķi minēto nosacījumu</w:t>
      </w:r>
      <w:r w:rsidR="00D437BC">
        <w:rPr>
          <w:rFonts w:ascii="Times New Roman" w:eastAsia="Calibri" w:hAnsi="Times New Roman"/>
          <w:lang w:val="lv-LV" w:bidi="ar-SA"/>
        </w:rPr>
        <w:t>. Vērtējumu var izteikt, piešķirot arī puspunktu (0,5).</w:t>
      </w:r>
    </w:p>
    <w:p w14:paraId="48682BF3" w14:textId="77777777" w:rsidR="00633192" w:rsidRPr="00CD4BB5" w:rsidRDefault="00633192" w:rsidP="00CD4BB5">
      <w:pPr>
        <w:ind w:firstLine="720"/>
        <w:contextualSpacing/>
        <w:jc w:val="both"/>
        <w:rPr>
          <w:rFonts w:ascii="Times New Roman" w:eastAsia="Calibri" w:hAnsi="Times New Roman"/>
          <w:lang w:val="lv-LV" w:bidi="ar-SA"/>
        </w:rPr>
      </w:pPr>
    </w:p>
    <w:p w14:paraId="7A131F92" w14:textId="27D161A8" w:rsidR="00CD4BB5" w:rsidRPr="00CD4BB5" w:rsidRDefault="00F6181F"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5</w:t>
      </w:r>
      <w:r w:rsidR="00CD4BB5" w:rsidRPr="00CD4BB5">
        <w:rPr>
          <w:rFonts w:ascii="Times New Roman" w:eastAsia="Calibri" w:hAnsi="Times New Roman"/>
          <w:lang w:val="lv-LV" w:bidi="ar-SA"/>
        </w:rPr>
        <w:t>. Par kopējā vērtējuma sastādīšanu atbildīgais komisijas balsstiesīgais loceklis vai komisijas pieaicinātais eksperts aizpilda projekta pieteikuma kopējo nozares specifisko kritēriju vērtēšanas veidlapu, kuru paraksta abi vērtētāji un iesniedz komisijas sekretariātam komisijas noteiktajā termiņā.</w:t>
      </w:r>
    </w:p>
    <w:p w14:paraId="51437DE2" w14:textId="3163DBE7" w:rsidR="0006732D" w:rsidRPr="00282DCB" w:rsidRDefault="0006732D" w:rsidP="0088119A">
      <w:pPr>
        <w:spacing w:line="259" w:lineRule="auto"/>
        <w:rPr>
          <w:rFonts w:ascii="Times New Roman" w:eastAsia="Calibri" w:hAnsi="Times New Roman"/>
          <w:lang w:val="lv-LV"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208"/>
        <w:gridCol w:w="4568"/>
        <w:gridCol w:w="1276"/>
      </w:tblGrid>
      <w:tr w:rsidR="0006732D" w:rsidRPr="001F6E86" w14:paraId="21397838" w14:textId="77777777" w:rsidTr="00633192">
        <w:tc>
          <w:tcPr>
            <w:tcW w:w="293" w:type="pct"/>
          </w:tcPr>
          <w:p w14:paraId="25412BA8"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Nr. p.k.</w:t>
            </w:r>
          </w:p>
        </w:tc>
        <w:tc>
          <w:tcPr>
            <w:tcW w:w="1676" w:type="pct"/>
          </w:tcPr>
          <w:p w14:paraId="023D7D3D" w14:textId="045A27AD" w:rsidR="0006732D"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Nozares specifiskais kritērijs</w:t>
            </w:r>
          </w:p>
          <w:p w14:paraId="50349CBA" w14:textId="7B4165A7"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sidRPr="004D1BBF">
              <w:rPr>
                <w:rFonts w:ascii="Times New Roman" w:hAnsi="Times New Roman"/>
                <w:i/>
                <w:color w:val="000000"/>
                <w:lang w:val="lv-LV"/>
              </w:rPr>
              <w:t>Atbilstoši no</w:t>
            </w:r>
            <w:r w:rsidR="00727975" w:rsidRPr="004D1BBF">
              <w:rPr>
                <w:rFonts w:ascii="Times New Roman" w:hAnsi="Times New Roman"/>
                <w:i/>
                <w:color w:val="000000"/>
                <w:lang w:val="lv-LV"/>
              </w:rPr>
              <w:t>likuma</w:t>
            </w:r>
            <w:r w:rsidRPr="004D1BBF">
              <w:rPr>
                <w:rFonts w:ascii="Times New Roman" w:hAnsi="Times New Roman"/>
                <w:i/>
                <w:color w:val="000000"/>
                <w:lang w:val="lv-LV"/>
              </w:rPr>
              <w:t xml:space="preserve"> </w:t>
            </w:r>
            <w:r w:rsidR="00727975" w:rsidRPr="004D1BBF">
              <w:rPr>
                <w:rFonts w:ascii="Times New Roman" w:hAnsi="Times New Roman"/>
                <w:i/>
                <w:color w:val="000000"/>
                <w:lang w:val="lv-LV"/>
              </w:rPr>
              <w:t>45</w:t>
            </w:r>
            <w:r w:rsidRPr="004D1BBF">
              <w:rPr>
                <w:rFonts w:ascii="Times New Roman" w:hAnsi="Times New Roman"/>
                <w:i/>
                <w:color w:val="000000"/>
                <w:lang w:val="lv-LV"/>
              </w:rPr>
              <w:t>.</w:t>
            </w:r>
            <w:r w:rsidR="002B7668" w:rsidRPr="004D1BBF">
              <w:rPr>
                <w:rFonts w:ascii="Times New Roman" w:hAnsi="Times New Roman"/>
                <w:i/>
                <w:color w:val="000000"/>
                <w:lang w:val="lv-LV"/>
              </w:rPr>
              <w:t xml:space="preserve">1. – </w:t>
            </w:r>
            <w:r w:rsidR="00727975" w:rsidRPr="004D1BBF">
              <w:rPr>
                <w:rFonts w:ascii="Times New Roman" w:hAnsi="Times New Roman"/>
                <w:i/>
                <w:color w:val="000000"/>
                <w:lang w:val="lv-LV"/>
              </w:rPr>
              <w:t>45</w:t>
            </w:r>
            <w:r w:rsidR="002B7668" w:rsidRPr="004D1BBF">
              <w:rPr>
                <w:rFonts w:ascii="Times New Roman" w:hAnsi="Times New Roman"/>
                <w:i/>
                <w:color w:val="000000"/>
                <w:lang w:val="lv-LV"/>
              </w:rPr>
              <w:t>.</w:t>
            </w:r>
            <w:r w:rsidR="00727975" w:rsidRPr="004D1BBF">
              <w:rPr>
                <w:rFonts w:ascii="Times New Roman" w:hAnsi="Times New Roman"/>
                <w:i/>
                <w:color w:val="000000"/>
                <w:lang w:val="lv-LV"/>
              </w:rPr>
              <w:t>6</w:t>
            </w:r>
            <w:r w:rsidR="002B7668" w:rsidRPr="004D1BBF">
              <w:rPr>
                <w:rFonts w:ascii="Times New Roman" w:hAnsi="Times New Roman"/>
                <w:i/>
                <w:color w:val="000000"/>
                <w:lang w:val="lv-LV"/>
              </w:rPr>
              <w:t>.</w:t>
            </w:r>
            <w:r w:rsidR="00727975" w:rsidRPr="004D1BBF">
              <w:rPr>
                <w:rFonts w:ascii="Times New Roman" w:hAnsi="Times New Roman"/>
                <w:i/>
                <w:color w:val="000000"/>
                <w:lang w:val="lv-LV"/>
              </w:rPr>
              <w:t xml:space="preserve"> </w:t>
            </w:r>
            <w:r w:rsidR="002B7668" w:rsidRPr="004D1BBF">
              <w:rPr>
                <w:rFonts w:ascii="Times New Roman" w:hAnsi="Times New Roman"/>
                <w:i/>
                <w:color w:val="000000"/>
                <w:lang w:val="lv-LV"/>
              </w:rPr>
              <w:t>apakš</w:t>
            </w:r>
            <w:r w:rsidRPr="004D1BBF">
              <w:rPr>
                <w:rFonts w:ascii="Times New Roman" w:hAnsi="Times New Roman"/>
                <w:i/>
                <w:color w:val="000000"/>
                <w:lang w:val="lv-LV"/>
              </w:rPr>
              <w:t>punktam</w:t>
            </w:r>
          </w:p>
        </w:tc>
        <w:tc>
          <w:tcPr>
            <w:tcW w:w="2382" w:type="pct"/>
          </w:tcPr>
          <w:p w14:paraId="5E2AA5FB"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282DCB">
              <w:rPr>
                <w:rFonts w:ascii="Times New Roman" w:hAnsi="Times New Roman"/>
                <w:color w:val="000000"/>
                <w:lang w:val="lv-LV"/>
              </w:rPr>
              <w:t>Atbilstības pārbaude</w:t>
            </w:r>
          </w:p>
          <w:p w14:paraId="0D6D7D77" w14:textId="36227376"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Pr>
                <w:rFonts w:ascii="Times New Roman" w:hAnsi="Times New Roman"/>
                <w:i/>
                <w:color w:val="000000"/>
                <w:lang w:val="lv-LV"/>
              </w:rPr>
              <w:t>Visu kritēriju atbilstības pārbaudi veic, ievērojot šādus nosacījumus</w:t>
            </w:r>
          </w:p>
        </w:tc>
        <w:tc>
          <w:tcPr>
            <w:tcW w:w="649" w:type="pct"/>
          </w:tcPr>
          <w:p w14:paraId="3C72F54E" w14:textId="7344E02A" w:rsidR="0006732D" w:rsidRPr="00282DCB"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Vērtējums, punkti</w:t>
            </w:r>
          </w:p>
        </w:tc>
      </w:tr>
      <w:tr w:rsidR="00727975" w:rsidRPr="00477CE1" w14:paraId="5A5CBA56" w14:textId="77777777" w:rsidTr="00633192">
        <w:trPr>
          <w:trHeight w:val="843"/>
        </w:trPr>
        <w:tc>
          <w:tcPr>
            <w:tcW w:w="293" w:type="pct"/>
            <w:vMerge w:val="restart"/>
          </w:tcPr>
          <w:p w14:paraId="34C5CFBD"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1.</w:t>
            </w:r>
          </w:p>
        </w:tc>
        <w:tc>
          <w:tcPr>
            <w:tcW w:w="1676" w:type="pct"/>
            <w:vMerge w:val="restart"/>
          </w:tcPr>
          <w:p w14:paraId="23BF65DF" w14:textId="5B19F395"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727975">
              <w:rPr>
                <w:rFonts w:ascii="Times New Roman" w:hAnsi="Times New Roman"/>
                <w:lang w:val="lv-LV"/>
              </w:rPr>
              <w:t>izvēlētās pētījuma stratēģijas un metodisko risinājumu atbilstība Enerģētikas savienības, Latvijas un Eiropas Savienības tiesību aktu prasībām noteikto mērķu un uzdevumu sasniegšanai</w:t>
            </w:r>
          </w:p>
        </w:tc>
        <w:tc>
          <w:tcPr>
            <w:tcW w:w="2382" w:type="pct"/>
          </w:tcPr>
          <w:p w14:paraId="7D692EFC" w14:textId="2708F880" w:rsidR="00727975" w:rsidRPr="00477CE1" w:rsidRDefault="00477CE1"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 xml:space="preserve">1.1. </w:t>
            </w:r>
            <w:r w:rsidR="00727975" w:rsidRPr="00477CE1">
              <w:rPr>
                <w:rFonts w:ascii="Times New Roman" w:hAnsi="Times New Roman"/>
                <w:i/>
                <w:lang w:val="lv-LV"/>
              </w:rPr>
              <w:t xml:space="preserve">Pētījuma stratēģija un metodiskie risinājumi ir aprakstīti, un ir nosaukti atbilstoši konkrēti Enerģētikas savienības un/vai ES tiesību akti. </w:t>
            </w:r>
          </w:p>
          <w:p w14:paraId="00B3D82F" w14:textId="194EC1B0" w:rsidR="00727975" w:rsidRPr="00477CE1"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[1 punkts]</w:t>
            </w:r>
          </w:p>
        </w:tc>
        <w:tc>
          <w:tcPr>
            <w:tcW w:w="649" w:type="pct"/>
          </w:tcPr>
          <w:p w14:paraId="0E793115"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77CE1" w14:paraId="4650B721" w14:textId="77777777" w:rsidTr="00633192">
        <w:trPr>
          <w:trHeight w:val="843"/>
        </w:trPr>
        <w:tc>
          <w:tcPr>
            <w:tcW w:w="293" w:type="pct"/>
            <w:vMerge/>
          </w:tcPr>
          <w:p w14:paraId="69C53533"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4D96E25B"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2382" w:type="pct"/>
          </w:tcPr>
          <w:p w14:paraId="3076AE6D" w14:textId="1CEE2836" w:rsidR="00727975" w:rsidRPr="00477CE1" w:rsidRDefault="00477CE1"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 xml:space="preserve">1.2. </w:t>
            </w:r>
            <w:r w:rsidR="00727975" w:rsidRPr="00477CE1">
              <w:rPr>
                <w:rFonts w:ascii="Times New Roman" w:hAnsi="Times New Roman"/>
                <w:i/>
                <w:lang w:val="lv-LV"/>
              </w:rPr>
              <w:t>Pētījuma stratēģija pieskaņota ES konkrētām metodiskajām prasībām, minot konkrētās prasības. [1 punkts]</w:t>
            </w:r>
          </w:p>
        </w:tc>
        <w:tc>
          <w:tcPr>
            <w:tcW w:w="649" w:type="pct"/>
          </w:tcPr>
          <w:p w14:paraId="540E5E9E"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77CE1" w14:paraId="4675A221" w14:textId="77777777" w:rsidTr="00633192">
        <w:trPr>
          <w:trHeight w:val="843"/>
        </w:trPr>
        <w:tc>
          <w:tcPr>
            <w:tcW w:w="293" w:type="pct"/>
            <w:vMerge/>
          </w:tcPr>
          <w:p w14:paraId="218E3DC3"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68E43455"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2382" w:type="pct"/>
          </w:tcPr>
          <w:p w14:paraId="7805F640" w14:textId="109F2EBF" w:rsidR="00727975" w:rsidRPr="00477CE1" w:rsidRDefault="00477CE1"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 xml:space="preserve">1.3. </w:t>
            </w:r>
            <w:r w:rsidR="00727975" w:rsidRPr="00477CE1">
              <w:rPr>
                <w:rFonts w:ascii="Times New Roman" w:hAnsi="Times New Roman"/>
                <w:i/>
                <w:lang w:val="lv-LV"/>
              </w:rPr>
              <w:t>Pieteikumā parādīta pētījuma stratēģijas un metodisko risinājumu sasaiste ar Enerģētikas savienības visām dimensijām (to mērķiem un uzdevumiem).</w:t>
            </w:r>
          </w:p>
          <w:p w14:paraId="15B8A08F" w14:textId="473C86A3" w:rsidR="00727975" w:rsidRPr="00477CE1"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477CE1">
              <w:rPr>
                <w:rFonts w:ascii="Times New Roman" w:hAnsi="Times New Roman"/>
                <w:i/>
                <w:lang w:val="lv-LV"/>
              </w:rPr>
              <w:t>[1 punkts]</w:t>
            </w:r>
          </w:p>
        </w:tc>
        <w:tc>
          <w:tcPr>
            <w:tcW w:w="649" w:type="pct"/>
          </w:tcPr>
          <w:p w14:paraId="66F45534"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77CE1" w14:paraId="641FFBA6" w14:textId="77777777" w:rsidTr="00633192">
        <w:trPr>
          <w:trHeight w:val="459"/>
        </w:trPr>
        <w:tc>
          <w:tcPr>
            <w:tcW w:w="293" w:type="pct"/>
            <w:vMerge w:val="restart"/>
          </w:tcPr>
          <w:p w14:paraId="32655411"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2.</w:t>
            </w:r>
          </w:p>
        </w:tc>
        <w:tc>
          <w:tcPr>
            <w:tcW w:w="1676" w:type="pct"/>
            <w:vMerge w:val="restart"/>
          </w:tcPr>
          <w:p w14:paraId="7456D1A9" w14:textId="5EDFF533"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727975">
              <w:rPr>
                <w:rFonts w:ascii="Times New Roman" w:hAnsi="Times New Roman"/>
                <w:color w:val="000000"/>
                <w:lang w:val="lv-LV"/>
              </w:rPr>
              <w:t>pētījuma rezultātā tiks sagatavoti vispusīgi pamatoti rīcībpolitikas ieteikumi un risinājumi ilgtspējīgas enerģētikas nozares, tautsaimniecības un sabiedrības attīstībai Latvijā</w:t>
            </w:r>
          </w:p>
        </w:tc>
        <w:tc>
          <w:tcPr>
            <w:tcW w:w="2382" w:type="pct"/>
          </w:tcPr>
          <w:p w14:paraId="68905A6E" w14:textId="4759FBCB" w:rsidR="00727975" w:rsidRPr="00477CE1" w:rsidRDefault="00477CE1"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color w:val="000000"/>
                <w:lang w:val="lv-LV"/>
              </w:rPr>
              <w:t xml:space="preserve">2.1. </w:t>
            </w:r>
            <w:r w:rsidR="00727975" w:rsidRPr="00477CE1">
              <w:rPr>
                <w:rFonts w:ascii="Times New Roman" w:hAnsi="Times New Roman"/>
                <w:i/>
                <w:color w:val="000000"/>
                <w:lang w:val="lv-LV"/>
              </w:rPr>
              <w:t xml:space="preserve">Pētījums paredz rīcībpolitikas ieteikumu izstrādi. </w:t>
            </w:r>
          </w:p>
          <w:p w14:paraId="41B63728" w14:textId="2E3952E8" w:rsidR="00727975" w:rsidRPr="00477CE1"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066ECFA1"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77CE1" w14:paraId="3730DB01" w14:textId="77777777" w:rsidTr="00633192">
        <w:trPr>
          <w:trHeight w:val="459"/>
        </w:trPr>
        <w:tc>
          <w:tcPr>
            <w:tcW w:w="293" w:type="pct"/>
            <w:vMerge/>
          </w:tcPr>
          <w:p w14:paraId="2CB1F744"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4267B236" w14:textId="77777777" w:rsidR="00727975" w:rsidRPr="00727975"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7B836936" w14:textId="7AF73462" w:rsidR="00727975" w:rsidRPr="00477CE1" w:rsidRDefault="00477CE1"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color w:val="000000"/>
                <w:lang w:val="lv-LV"/>
              </w:rPr>
              <w:t xml:space="preserve">2.2. </w:t>
            </w:r>
            <w:r w:rsidR="00727975" w:rsidRPr="00477CE1">
              <w:rPr>
                <w:rFonts w:ascii="Times New Roman" w:hAnsi="Times New Roman"/>
                <w:i/>
                <w:color w:val="000000"/>
                <w:lang w:val="lv-LV"/>
              </w:rPr>
              <w:t xml:space="preserve">Ir sniegta informācija par rīcībpolitikas ieteikumu izvērtēšanas un pamatošanas plānoto metodi. </w:t>
            </w:r>
          </w:p>
          <w:p w14:paraId="1F2C9889" w14:textId="54B6DD74" w:rsidR="00727975" w:rsidRPr="00477CE1" w:rsidRDefault="00727975"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0CE48E39"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477CE1" w14:paraId="34AEB101" w14:textId="77777777" w:rsidTr="00633192">
        <w:trPr>
          <w:trHeight w:val="459"/>
        </w:trPr>
        <w:tc>
          <w:tcPr>
            <w:tcW w:w="293" w:type="pct"/>
            <w:vMerge/>
          </w:tcPr>
          <w:p w14:paraId="684E74FA"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24EA7CD4" w14:textId="77777777" w:rsidR="00727975" w:rsidRPr="00727975"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145C93B2" w14:textId="491EB3F5" w:rsidR="00727975" w:rsidRPr="00477CE1" w:rsidRDefault="00477CE1"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color w:val="000000"/>
                <w:lang w:val="lv-LV"/>
              </w:rPr>
              <w:t xml:space="preserve">2.3. </w:t>
            </w:r>
            <w:r w:rsidR="00727975" w:rsidRPr="00477CE1">
              <w:rPr>
                <w:rFonts w:ascii="Times New Roman" w:hAnsi="Times New Roman"/>
                <w:i/>
                <w:color w:val="000000"/>
                <w:lang w:val="lv-LV"/>
              </w:rPr>
              <w:t xml:space="preserve">Pētījums paredz rīcībpolitikas ietekmes izvērtējumu uz Latvijas enerģētikas nozari, </w:t>
            </w:r>
            <w:r w:rsidR="00727975" w:rsidRPr="00477CE1">
              <w:rPr>
                <w:rFonts w:ascii="Times New Roman" w:hAnsi="Times New Roman"/>
                <w:i/>
                <w:color w:val="000000"/>
                <w:lang w:val="lv-LV"/>
              </w:rPr>
              <w:lastRenderedPageBreak/>
              <w:t>sabiedrību un ekonomiku.</w:t>
            </w:r>
          </w:p>
          <w:p w14:paraId="52C39AF8" w14:textId="5BA08C5A" w:rsidR="00727975" w:rsidRPr="00477CE1" w:rsidRDefault="00727975"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351D00A6"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52B054CD" w14:textId="77777777" w:rsidTr="00633192">
        <w:trPr>
          <w:trHeight w:val="693"/>
        </w:trPr>
        <w:tc>
          <w:tcPr>
            <w:tcW w:w="293" w:type="pct"/>
            <w:vMerge w:val="restart"/>
          </w:tcPr>
          <w:p w14:paraId="3A05F6EE"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3.</w:t>
            </w:r>
          </w:p>
        </w:tc>
        <w:tc>
          <w:tcPr>
            <w:tcW w:w="1676" w:type="pct"/>
            <w:vMerge w:val="restart"/>
          </w:tcPr>
          <w:p w14:paraId="11DEEA52" w14:textId="7AA9274E"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727975">
              <w:rPr>
                <w:rFonts w:ascii="Times New Roman" w:hAnsi="Times New Roman"/>
                <w:color w:val="000000"/>
                <w:lang w:val="lv-LV"/>
              </w:rPr>
              <w:t>institūcijai, kas īsteno pētījumu, un tās sadarbības partneriem (ja attiecināms) ir nepieciešamais programmnodrošinājums un iepriekšēja sadarbības pieredze ar valsts/pašvaldību institūcijām enerģētikas modelēšanas un politikas rekomendāciju izstrādē</w:t>
            </w:r>
          </w:p>
        </w:tc>
        <w:tc>
          <w:tcPr>
            <w:tcW w:w="2382" w:type="pct"/>
          </w:tcPr>
          <w:p w14:paraId="4969E7B9" w14:textId="3BC91CA6" w:rsidR="00D6736D" w:rsidRPr="00477CE1" w:rsidRDefault="00477CE1"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3.1. </w:t>
            </w:r>
            <w:r w:rsidR="00D6736D" w:rsidRPr="00477CE1">
              <w:rPr>
                <w:rFonts w:ascii="Times New Roman" w:hAnsi="Times New Roman"/>
                <w:i/>
                <w:color w:val="000000"/>
                <w:lang w:val="lv-LV"/>
              </w:rPr>
              <w:t>Programmnodrošinājums ir atbilstošs projekta uzdevumu veikšanai un pieteicējam ir pieredze modelēšanā</w:t>
            </w:r>
          </w:p>
          <w:p w14:paraId="2FD007CF" w14:textId="4B7ABB7C"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5AC856A1"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477CE1" w14:paraId="022EEFAE" w14:textId="77777777" w:rsidTr="00633192">
        <w:trPr>
          <w:trHeight w:val="693"/>
        </w:trPr>
        <w:tc>
          <w:tcPr>
            <w:tcW w:w="293" w:type="pct"/>
            <w:vMerge/>
          </w:tcPr>
          <w:p w14:paraId="60FFFF9F"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57FE62BB"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1ECC0796" w14:textId="236D8F8E" w:rsidR="00D6736D" w:rsidRPr="00477CE1" w:rsidRDefault="00477CE1"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3.2. </w:t>
            </w:r>
            <w:r w:rsidR="00D6736D" w:rsidRPr="00477CE1">
              <w:rPr>
                <w:rFonts w:ascii="Times New Roman" w:hAnsi="Times New Roman"/>
                <w:i/>
                <w:color w:val="000000"/>
                <w:lang w:val="lv-LV"/>
              </w:rPr>
              <w:t>Pieredze modelēšanā sadarbībai ar valsts vai pašvaldību iestādēm</w:t>
            </w:r>
          </w:p>
          <w:p w14:paraId="551E9652" w14:textId="3E776D3F" w:rsidR="00D6736D" w:rsidRPr="00477CE1"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1179A155"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477CE1" w14:paraId="4AC99CC9" w14:textId="77777777" w:rsidTr="00633192">
        <w:trPr>
          <w:trHeight w:val="693"/>
        </w:trPr>
        <w:tc>
          <w:tcPr>
            <w:tcW w:w="293" w:type="pct"/>
            <w:vMerge/>
          </w:tcPr>
          <w:p w14:paraId="5DADA9B8"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6A54EAEF"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4B9DA6B1" w14:textId="7ACCF55D" w:rsidR="00D6736D" w:rsidRPr="00477CE1" w:rsidRDefault="00477CE1"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3.3. </w:t>
            </w:r>
            <w:r w:rsidR="00D6736D" w:rsidRPr="00477CE1">
              <w:rPr>
                <w:rFonts w:ascii="Times New Roman" w:hAnsi="Times New Roman"/>
                <w:i/>
                <w:color w:val="000000"/>
                <w:lang w:val="lv-LV"/>
              </w:rPr>
              <w:t xml:space="preserve">Pieredze </w:t>
            </w:r>
            <w:proofErr w:type="spellStart"/>
            <w:r w:rsidR="00D6736D" w:rsidRPr="00477CE1">
              <w:rPr>
                <w:rFonts w:ascii="Times New Roman" w:hAnsi="Times New Roman"/>
                <w:i/>
                <w:color w:val="000000"/>
                <w:lang w:val="lv-LV"/>
              </w:rPr>
              <w:t>rīcībpolitiku</w:t>
            </w:r>
            <w:proofErr w:type="spellEnd"/>
            <w:r w:rsidR="00D6736D" w:rsidRPr="00477CE1">
              <w:rPr>
                <w:rFonts w:ascii="Times New Roman" w:hAnsi="Times New Roman"/>
                <w:i/>
                <w:color w:val="000000"/>
                <w:lang w:val="lv-LV"/>
              </w:rPr>
              <w:t xml:space="preserve"> izstrādē sadarbībā ar valsts un pašvaldību iestādēm.</w:t>
            </w:r>
          </w:p>
          <w:p w14:paraId="56C5C3AA" w14:textId="69B54FC2" w:rsidR="00D6736D" w:rsidRPr="00477CE1"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7BF03FB9"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477CE1" w14:paraId="68C11B37" w14:textId="77777777" w:rsidTr="00633192">
        <w:trPr>
          <w:trHeight w:val="615"/>
        </w:trPr>
        <w:tc>
          <w:tcPr>
            <w:tcW w:w="293" w:type="pct"/>
            <w:vMerge w:val="restart"/>
          </w:tcPr>
          <w:p w14:paraId="51B20F0B" w14:textId="2DB44C34"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4.</w:t>
            </w:r>
          </w:p>
        </w:tc>
        <w:tc>
          <w:tcPr>
            <w:tcW w:w="1676" w:type="pct"/>
            <w:vMerge w:val="restart"/>
          </w:tcPr>
          <w:p w14:paraId="36F7F948" w14:textId="42846E5A"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727975">
              <w:rPr>
                <w:rFonts w:ascii="Times New Roman" w:hAnsi="Times New Roman"/>
                <w:color w:val="000000"/>
                <w:lang w:val="lv-LV"/>
              </w:rPr>
              <w:t>projekta īstenošanas rezultātā tiks radītas zināšanas (metodikas, datu vākšanas un apstrādes sistēmas, dati utt.), kas nodrošinās nepārtrauktu enerģētikas politikas ieviešanas monitoringu, analīzi un uzlabojumus</w:t>
            </w:r>
          </w:p>
        </w:tc>
        <w:tc>
          <w:tcPr>
            <w:tcW w:w="2382" w:type="pct"/>
          </w:tcPr>
          <w:p w14:paraId="6F515378" w14:textId="001913D5" w:rsidR="00D6736D" w:rsidRPr="00477CE1" w:rsidRDefault="00477CE1" w:rsidP="00D6736D">
            <w:pPr>
              <w:jc w:val="both"/>
              <w:rPr>
                <w:rFonts w:ascii="Times New Roman" w:hAnsi="Times New Roman"/>
                <w:i/>
                <w:lang w:val="lv-LV"/>
              </w:rPr>
            </w:pPr>
            <w:r>
              <w:rPr>
                <w:rFonts w:ascii="Times New Roman" w:hAnsi="Times New Roman"/>
                <w:i/>
                <w:lang w:val="lv-LV"/>
              </w:rPr>
              <w:t xml:space="preserve">4.1. </w:t>
            </w:r>
            <w:r w:rsidR="00D6736D" w:rsidRPr="00477CE1">
              <w:rPr>
                <w:rFonts w:ascii="Times New Roman" w:hAnsi="Times New Roman"/>
                <w:i/>
                <w:lang w:val="lv-LV"/>
              </w:rPr>
              <w:t>Pētījumā ir paredzēts attīstīt metodikas NEKP ziņošanai</w:t>
            </w:r>
          </w:p>
          <w:p w14:paraId="6223024A" w14:textId="6BC1A994" w:rsidR="00D6736D" w:rsidRPr="00477CE1" w:rsidRDefault="00D6736D" w:rsidP="00D6736D">
            <w:pPr>
              <w:jc w:val="both"/>
              <w:rPr>
                <w:rFonts w:ascii="Times New Roman" w:hAnsi="Times New Roman"/>
                <w:i/>
                <w:lang w:val="lv-LV"/>
              </w:rPr>
            </w:pPr>
            <w:r w:rsidRPr="00477CE1">
              <w:rPr>
                <w:rFonts w:ascii="Times New Roman" w:hAnsi="Times New Roman"/>
                <w:i/>
                <w:lang w:val="lv-LV"/>
              </w:rPr>
              <w:t>[1 punkts]</w:t>
            </w:r>
          </w:p>
        </w:tc>
        <w:tc>
          <w:tcPr>
            <w:tcW w:w="649" w:type="pct"/>
          </w:tcPr>
          <w:p w14:paraId="741BC77E"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1431518E" w14:textId="77777777" w:rsidTr="00633192">
        <w:trPr>
          <w:trHeight w:val="613"/>
        </w:trPr>
        <w:tc>
          <w:tcPr>
            <w:tcW w:w="293" w:type="pct"/>
            <w:vMerge/>
          </w:tcPr>
          <w:p w14:paraId="39AB5D0D"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7E1D994E"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0CE6E2CB" w14:textId="490EA51B" w:rsidR="00D6736D" w:rsidRPr="00477CE1" w:rsidRDefault="00477CE1" w:rsidP="00D6736D">
            <w:pPr>
              <w:jc w:val="both"/>
              <w:rPr>
                <w:rFonts w:ascii="Times New Roman" w:hAnsi="Times New Roman"/>
                <w:i/>
                <w:lang w:val="lv-LV"/>
              </w:rPr>
            </w:pPr>
            <w:r>
              <w:rPr>
                <w:rFonts w:ascii="Times New Roman" w:hAnsi="Times New Roman"/>
                <w:i/>
                <w:lang w:val="lv-LV"/>
              </w:rPr>
              <w:t xml:space="preserve">4.2. </w:t>
            </w:r>
            <w:r w:rsidR="00D6736D" w:rsidRPr="00477CE1">
              <w:rPr>
                <w:rFonts w:ascii="Times New Roman" w:hAnsi="Times New Roman"/>
                <w:i/>
                <w:lang w:val="lv-LV"/>
              </w:rPr>
              <w:t>Paredzēts identificēt un iegūt jaunus datus</w:t>
            </w:r>
          </w:p>
          <w:p w14:paraId="508F4084" w14:textId="10974BBB" w:rsidR="00D6736D" w:rsidRPr="00477CE1" w:rsidRDefault="00D6736D" w:rsidP="00D6736D">
            <w:pPr>
              <w:jc w:val="both"/>
              <w:rPr>
                <w:rFonts w:ascii="Times New Roman" w:hAnsi="Times New Roman"/>
                <w:i/>
                <w:lang w:val="lv-LV"/>
              </w:rPr>
            </w:pPr>
            <w:r w:rsidRPr="00477CE1">
              <w:rPr>
                <w:rFonts w:ascii="Times New Roman" w:hAnsi="Times New Roman"/>
                <w:i/>
                <w:lang w:val="lv-LV"/>
              </w:rPr>
              <w:t xml:space="preserve">[1 punkts] </w:t>
            </w:r>
          </w:p>
        </w:tc>
        <w:tc>
          <w:tcPr>
            <w:tcW w:w="649" w:type="pct"/>
          </w:tcPr>
          <w:p w14:paraId="22AAF979"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660C35E0" w14:textId="77777777" w:rsidTr="00633192">
        <w:trPr>
          <w:trHeight w:val="613"/>
        </w:trPr>
        <w:tc>
          <w:tcPr>
            <w:tcW w:w="293" w:type="pct"/>
            <w:vMerge/>
          </w:tcPr>
          <w:p w14:paraId="431269B6"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346E3CA4"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3646BA9F" w14:textId="79ECD4EA" w:rsidR="00D6736D" w:rsidRPr="00477CE1" w:rsidRDefault="00477CE1" w:rsidP="00BD40B8">
            <w:pPr>
              <w:jc w:val="both"/>
              <w:rPr>
                <w:rFonts w:ascii="Times New Roman" w:hAnsi="Times New Roman"/>
                <w:i/>
                <w:lang w:val="lv-LV"/>
              </w:rPr>
            </w:pPr>
            <w:r>
              <w:rPr>
                <w:rFonts w:ascii="Times New Roman" w:hAnsi="Times New Roman"/>
                <w:i/>
                <w:lang w:val="lv-LV"/>
              </w:rPr>
              <w:t xml:space="preserve">4.3. </w:t>
            </w:r>
            <w:r w:rsidR="00D6736D" w:rsidRPr="00477CE1">
              <w:rPr>
                <w:rFonts w:ascii="Times New Roman" w:hAnsi="Times New Roman"/>
                <w:i/>
                <w:lang w:val="lv-LV"/>
              </w:rPr>
              <w:t>Plānots radīt jaunas zināšanas, kas attiecas uz visu politikas ieviešanas ciklu – monitoringu, analīzi, uzlabojumu ieviešanu.</w:t>
            </w:r>
          </w:p>
          <w:p w14:paraId="04192B09" w14:textId="527243CC" w:rsidR="00D6736D" w:rsidRPr="00477CE1" w:rsidRDefault="00D6736D" w:rsidP="00BD40B8">
            <w:pPr>
              <w:jc w:val="both"/>
              <w:rPr>
                <w:rFonts w:ascii="Times New Roman" w:hAnsi="Times New Roman"/>
                <w:i/>
                <w:lang w:val="lv-LV"/>
              </w:rPr>
            </w:pPr>
            <w:r w:rsidRPr="00477CE1">
              <w:rPr>
                <w:rFonts w:ascii="Times New Roman" w:hAnsi="Times New Roman"/>
                <w:i/>
                <w:lang w:val="lv-LV"/>
              </w:rPr>
              <w:t>[1 punkts]</w:t>
            </w:r>
          </w:p>
        </w:tc>
        <w:tc>
          <w:tcPr>
            <w:tcW w:w="649" w:type="pct"/>
          </w:tcPr>
          <w:p w14:paraId="5494A85F"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47BBEE5D" w14:textId="77777777" w:rsidTr="00633192">
        <w:trPr>
          <w:trHeight w:val="615"/>
        </w:trPr>
        <w:tc>
          <w:tcPr>
            <w:tcW w:w="293" w:type="pct"/>
            <w:vMerge w:val="restart"/>
          </w:tcPr>
          <w:p w14:paraId="533E034B" w14:textId="09A33A03"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5.</w:t>
            </w:r>
          </w:p>
        </w:tc>
        <w:tc>
          <w:tcPr>
            <w:tcW w:w="1676" w:type="pct"/>
            <w:vMerge w:val="restart"/>
          </w:tcPr>
          <w:p w14:paraId="0D1126D2" w14:textId="47559E63"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727975">
              <w:rPr>
                <w:rFonts w:ascii="Times New Roman" w:hAnsi="Times New Roman"/>
                <w:color w:val="000000"/>
                <w:lang w:val="lv-LV"/>
              </w:rPr>
              <w:t>projekta īstenošana sekmē pētījuma zinātniskā personāla, tai skaitā studējošo, zinātnisko spēju stiprināšanu klimata un enerģētikas modelēšanas, pasākumu ietekmes novērtēšanas un tehnoloģiju jomā</w:t>
            </w:r>
          </w:p>
        </w:tc>
        <w:tc>
          <w:tcPr>
            <w:tcW w:w="2382" w:type="pct"/>
          </w:tcPr>
          <w:p w14:paraId="0A79FD50" w14:textId="0AB1819B" w:rsidR="00D6736D" w:rsidRPr="00477CE1" w:rsidRDefault="00477CE1"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5.1. </w:t>
            </w:r>
            <w:r w:rsidR="00D6736D" w:rsidRPr="00477CE1">
              <w:rPr>
                <w:rFonts w:ascii="Times New Roman" w:hAnsi="Times New Roman"/>
                <w:i/>
                <w:color w:val="000000"/>
                <w:lang w:val="lv-LV"/>
              </w:rPr>
              <w:t xml:space="preserve">Plānots attīstīt zinātniskā personāla jaunas zināšanas un prasmes klimata un enerģētikas modelēšanā </w:t>
            </w:r>
          </w:p>
          <w:p w14:paraId="660B0035" w14:textId="4908AA42"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4F13DAC1"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2B72DB64" w14:textId="77777777" w:rsidTr="00633192">
        <w:trPr>
          <w:trHeight w:val="613"/>
        </w:trPr>
        <w:tc>
          <w:tcPr>
            <w:tcW w:w="293" w:type="pct"/>
            <w:vMerge/>
          </w:tcPr>
          <w:p w14:paraId="6687178D"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679F6858"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387A9971" w14:textId="6952A423" w:rsidR="00D6736D" w:rsidRPr="00477CE1" w:rsidRDefault="00477CE1"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5.2. </w:t>
            </w:r>
            <w:r w:rsidR="00D6736D" w:rsidRPr="00477CE1">
              <w:rPr>
                <w:rFonts w:ascii="Times New Roman" w:hAnsi="Times New Roman"/>
                <w:i/>
                <w:color w:val="000000"/>
                <w:lang w:val="lv-LV"/>
              </w:rPr>
              <w:t xml:space="preserve">Plānots modelēšanā un ietekmes novērtēšanā iesaistīt  doktorantus </w:t>
            </w:r>
          </w:p>
          <w:p w14:paraId="6972D5ED" w14:textId="6C78801D"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7585DCC1"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7A853EEF" w14:textId="77777777" w:rsidTr="00633192">
        <w:trPr>
          <w:trHeight w:val="613"/>
        </w:trPr>
        <w:tc>
          <w:tcPr>
            <w:tcW w:w="293" w:type="pct"/>
            <w:vMerge/>
          </w:tcPr>
          <w:p w14:paraId="705747CB"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5F6A26FD"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21D6DCB0" w14:textId="5A1FBACF" w:rsidR="00D6736D" w:rsidRPr="00477CE1" w:rsidRDefault="00477CE1"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5.3. </w:t>
            </w:r>
            <w:r w:rsidR="00D6736D" w:rsidRPr="00477CE1">
              <w:rPr>
                <w:rFonts w:ascii="Times New Roman" w:hAnsi="Times New Roman"/>
                <w:i/>
                <w:color w:val="000000"/>
                <w:lang w:val="lv-LV"/>
              </w:rPr>
              <w:t xml:space="preserve">Plānots apmācīt maģistrantūras studentus </w:t>
            </w:r>
          </w:p>
          <w:p w14:paraId="066695A6" w14:textId="4ADD033C" w:rsidR="00D6736D" w:rsidRPr="00477CE1"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2887BDB3"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192E3DE0" w14:textId="77777777" w:rsidTr="00633192">
        <w:trPr>
          <w:trHeight w:val="539"/>
        </w:trPr>
        <w:tc>
          <w:tcPr>
            <w:tcW w:w="293" w:type="pct"/>
            <w:vMerge w:val="restart"/>
          </w:tcPr>
          <w:p w14:paraId="0FB42DDF" w14:textId="612C1370"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6.</w:t>
            </w:r>
          </w:p>
        </w:tc>
        <w:tc>
          <w:tcPr>
            <w:tcW w:w="1676" w:type="pct"/>
            <w:vMerge w:val="restart"/>
          </w:tcPr>
          <w:p w14:paraId="0E506D73" w14:textId="5ED7DDF6" w:rsidR="00D6736D" w:rsidRPr="00282DCB"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727975">
              <w:rPr>
                <w:rFonts w:ascii="Times New Roman" w:hAnsi="Times New Roman"/>
                <w:color w:val="000000"/>
                <w:lang w:val="lv-LV"/>
              </w:rPr>
              <w:t>projekta darba plāns nodrošina rezultātu pieejamību Latvijas enerģētikas un klimata politikas izstrādei 2021.–2030. gadam. Plānotie darba posmi un uzdevumi ir skaidri definēti, atbilstoši un ticami</w:t>
            </w:r>
          </w:p>
        </w:tc>
        <w:tc>
          <w:tcPr>
            <w:tcW w:w="2382" w:type="pct"/>
          </w:tcPr>
          <w:p w14:paraId="4ECA0AAA" w14:textId="4C7886AB" w:rsidR="00D6736D" w:rsidRPr="00477CE1" w:rsidRDefault="00477CE1"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6.1. </w:t>
            </w:r>
            <w:r w:rsidR="00D6736D" w:rsidRPr="00477CE1">
              <w:rPr>
                <w:rFonts w:ascii="Times New Roman" w:hAnsi="Times New Roman"/>
                <w:i/>
                <w:color w:val="000000"/>
                <w:lang w:val="lv-LV"/>
              </w:rPr>
              <w:t xml:space="preserve">Projekta darba plāna termiņi un posmi nodrošina rezultātu pieejamību Latvijas enerģētikas un klimata un enerģētikas politikas izstrādei 2021.–2030. gadam . </w:t>
            </w:r>
          </w:p>
          <w:p w14:paraId="3E839969" w14:textId="37298261"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59A139AB"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691149C0" w14:textId="77777777" w:rsidTr="00633192">
        <w:trPr>
          <w:trHeight w:val="538"/>
        </w:trPr>
        <w:tc>
          <w:tcPr>
            <w:tcW w:w="293" w:type="pct"/>
            <w:vMerge/>
          </w:tcPr>
          <w:p w14:paraId="24B059A4"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1C6BAE7D" w14:textId="77777777" w:rsidR="00D6736D" w:rsidRPr="00727975"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3A2D3D42" w14:textId="69FAD23E" w:rsidR="00D6736D" w:rsidRPr="00477CE1" w:rsidRDefault="0040074C"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6.2. </w:t>
            </w:r>
            <w:r w:rsidR="00D6736D" w:rsidRPr="00477CE1">
              <w:rPr>
                <w:rFonts w:ascii="Times New Roman" w:hAnsi="Times New Roman"/>
                <w:i/>
                <w:color w:val="000000"/>
                <w:lang w:val="lv-LV"/>
              </w:rPr>
              <w:t xml:space="preserve">Darba posmi, uzdevumi un rezultāti ir skaidri definēti. </w:t>
            </w:r>
          </w:p>
          <w:p w14:paraId="6A11B6F1" w14:textId="117C786C"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44A42AF8"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477CE1" w14:paraId="75868B7E" w14:textId="77777777" w:rsidTr="00633192">
        <w:trPr>
          <w:trHeight w:val="538"/>
        </w:trPr>
        <w:tc>
          <w:tcPr>
            <w:tcW w:w="293" w:type="pct"/>
            <w:vMerge/>
          </w:tcPr>
          <w:p w14:paraId="57474CE6"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76" w:type="pct"/>
            <w:vMerge/>
          </w:tcPr>
          <w:p w14:paraId="655E00F3" w14:textId="77777777" w:rsidR="00D6736D" w:rsidRPr="00727975" w:rsidRDefault="00D6736D"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82" w:type="pct"/>
          </w:tcPr>
          <w:p w14:paraId="53B36124" w14:textId="473AD7DC" w:rsidR="00D6736D" w:rsidRPr="00477CE1" w:rsidRDefault="0040074C" w:rsidP="00385F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6.3. </w:t>
            </w:r>
            <w:r w:rsidR="00D6736D" w:rsidRPr="00477CE1">
              <w:rPr>
                <w:rFonts w:ascii="Times New Roman" w:hAnsi="Times New Roman"/>
                <w:i/>
                <w:color w:val="000000"/>
                <w:lang w:val="lv-LV"/>
              </w:rPr>
              <w:t xml:space="preserve">Termiņi un rezultāti atbilst ES tiesību aktos noteiktajam attiecībā uz enerģētikas politikas izstrādi, saskaņošanu un  progresa ziņošanu. </w:t>
            </w:r>
          </w:p>
          <w:p w14:paraId="62574B9C" w14:textId="77E6D2B1" w:rsidR="00D6736D" w:rsidRPr="00477CE1" w:rsidRDefault="00D6736D" w:rsidP="00385F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477CE1">
              <w:rPr>
                <w:rFonts w:ascii="Times New Roman" w:hAnsi="Times New Roman"/>
                <w:i/>
                <w:lang w:val="lv-LV"/>
              </w:rPr>
              <w:t>[1 punkts]</w:t>
            </w:r>
          </w:p>
        </w:tc>
        <w:tc>
          <w:tcPr>
            <w:tcW w:w="649" w:type="pct"/>
          </w:tcPr>
          <w:p w14:paraId="49FC77A3" w14:textId="77777777" w:rsidR="00D6736D" w:rsidRPr="00477CE1"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727975" w14:paraId="07D67BD8" w14:textId="77777777" w:rsidTr="00633192">
        <w:trPr>
          <w:trHeight w:val="305"/>
        </w:trPr>
        <w:tc>
          <w:tcPr>
            <w:tcW w:w="4351" w:type="pct"/>
            <w:gridSpan w:val="3"/>
            <w:shd w:val="clear" w:color="auto" w:fill="FFFFFF" w:themeFill="background1"/>
          </w:tcPr>
          <w:p w14:paraId="3220AC3E" w14:textId="41F5F765" w:rsidR="00D6736D" w:rsidRPr="00D6736D"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b/>
                <w:i/>
                <w:color w:val="000000"/>
                <w:lang w:val="lv-LV"/>
              </w:rPr>
            </w:pPr>
            <w:r w:rsidRPr="00D6736D">
              <w:rPr>
                <w:rFonts w:ascii="Times New Roman" w:hAnsi="Times New Roman"/>
                <w:b/>
                <w:i/>
                <w:color w:val="000000"/>
                <w:lang w:val="lv-LV"/>
              </w:rPr>
              <w:t>KOPĀ:</w:t>
            </w:r>
          </w:p>
        </w:tc>
        <w:tc>
          <w:tcPr>
            <w:tcW w:w="649" w:type="pct"/>
            <w:shd w:val="clear" w:color="auto" w:fill="FFFFFF" w:themeFill="background1"/>
          </w:tcPr>
          <w:p w14:paraId="2A7C9114"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2F5A027A" w14:textId="1420C552" w:rsidR="0006732D" w:rsidRDefault="0006732D" w:rsidP="0006732D">
      <w:pPr>
        <w:contextualSpacing/>
        <w:jc w:val="both"/>
        <w:rPr>
          <w:rFonts w:ascii="Times New Roman" w:eastAsia="Calibri" w:hAnsi="Times New Roman"/>
          <w:lang w:val="lv-LV" w:bidi="ar-SA"/>
        </w:rPr>
      </w:pPr>
    </w:p>
    <w:p w14:paraId="483E9648" w14:textId="77777777" w:rsidR="00D6736D" w:rsidRPr="00282DCB" w:rsidRDefault="00D6736D" w:rsidP="0006732D">
      <w:pPr>
        <w:contextualSpacing/>
        <w:jc w:val="both"/>
        <w:rPr>
          <w:rFonts w:ascii="Times New Roman" w:eastAsia="Calibri" w:hAnsi="Times New Roman"/>
          <w:lang w:val="lv-LV" w:bidi="ar-SA"/>
        </w:rPr>
      </w:pPr>
    </w:p>
    <w:sectPr w:rsidR="00D6736D" w:rsidRPr="00282DCB" w:rsidSect="00E4152B">
      <w:headerReference w:type="default" r:id="rId7"/>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D2503" w14:textId="77777777" w:rsidR="00A31893" w:rsidRDefault="00A31893" w:rsidP="00036815">
      <w:r>
        <w:separator/>
      </w:r>
    </w:p>
  </w:endnote>
  <w:endnote w:type="continuationSeparator" w:id="0">
    <w:p w14:paraId="138B699E" w14:textId="77777777" w:rsidR="00A31893" w:rsidRDefault="00A31893"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961B6" w14:textId="77777777" w:rsidR="00A31893" w:rsidRDefault="00A31893" w:rsidP="00036815">
      <w:r>
        <w:separator/>
      </w:r>
    </w:p>
  </w:footnote>
  <w:footnote w:type="continuationSeparator" w:id="0">
    <w:p w14:paraId="33D4AA12" w14:textId="77777777" w:rsidR="00A31893" w:rsidRDefault="00A31893"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8FBBB" w14:textId="77777777" w:rsidR="00036815" w:rsidRPr="00EB5F20" w:rsidRDefault="00036815"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A7A8C"/>
    <w:multiLevelType w:val="hybridMultilevel"/>
    <w:tmpl w:val="408A5878"/>
    <w:lvl w:ilvl="0" w:tplc="8D4868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7C3CC9"/>
    <w:multiLevelType w:val="hybridMultilevel"/>
    <w:tmpl w:val="65363E0E"/>
    <w:lvl w:ilvl="0" w:tplc="3196A51E">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A8"/>
    <w:rsid w:val="0000727F"/>
    <w:rsid w:val="00011C27"/>
    <w:rsid w:val="00015A0F"/>
    <w:rsid w:val="0003134F"/>
    <w:rsid w:val="00032E50"/>
    <w:rsid w:val="00036815"/>
    <w:rsid w:val="00040D6C"/>
    <w:rsid w:val="000429D8"/>
    <w:rsid w:val="00054030"/>
    <w:rsid w:val="0006732D"/>
    <w:rsid w:val="00075E39"/>
    <w:rsid w:val="00082EA6"/>
    <w:rsid w:val="00092B3B"/>
    <w:rsid w:val="000A242A"/>
    <w:rsid w:val="000A6D70"/>
    <w:rsid w:val="000A71ED"/>
    <w:rsid w:val="000D0277"/>
    <w:rsid w:val="000D6537"/>
    <w:rsid w:val="000F0740"/>
    <w:rsid w:val="000F76B8"/>
    <w:rsid w:val="00106D99"/>
    <w:rsid w:val="00113994"/>
    <w:rsid w:val="00154A7B"/>
    <w:rsid w:val="00164CF9"/>
    <w:rsid w:val="001A2F78"/>
    <w:rsid w:val="001B0EE1"/>
    <w:rsid w:val="001F2143"/>
    <w:rsid w:val="001F6E86"/>
    <w:rsid w:val="002663D3"/>
    <w:rsid w:val="002800A8"/>
    <w:rsid w:val="00282DCB"/>
    <w:rsid w:val="002A521C"/>
    <w:rsid w:val="002B0408"/>
    <w:rsid w:val="002B7668"/>
    <w:rsid w:val="002D0659"/>
    <w:rsid w:val="003068F9"/>
    <w:rsid w:val="003176CF"/>
    <w:rsid w:val="00321811"/>
    <w:rsid w:val="00322974"/>
    <w:rsid w:val="0038075E"/>
    <w:rsid w:val="00385F62"/>
    <w:rsid w:val="003A578B"/>
    <w:rsid w:val="0040074C"/>
    <w:rsid w:val="004165D0"/>
    <w:rsid w:val="00440B51"/>
    <w:rsid w:val="00474B7C"/>
    <w:rsid w:val="00477CE1"/>
    <w:rsid w:val="00497F01"/>
    <w:rsid w:val="004B595B"/>
    <w:rsid w:val="004D1BBF"/>
    <w:rsid w:val="004D38EF"/>
    <w:rsid w:val="0050551A"/>
    <w:rsid w:val="00505B14"/>
    <w:rsid w:val="0051481E"/>
    <w:rsid w:val="00514ABF"/>
    <w:rsid w:val="005559C4"/>
    <w:rsid w:val="00555D60"/>
    <w:rsid w:val="00562455"/>
    <w:rsid w:val="00584D8B"/>
    <w:rsid w:val="005B3481"/>
    <w:rsid w:val="005B6083"/>
    <w:rsid w:val="005B7C05"/>
    <w:rsid w:val="005D6EBC"/>
    <w:rsid w:val="00615469"/>
    <w:rsid w:val="006304CD"/>
    <w:rsid w:val="00633192"/>
    <w:rsid w:val="006574F3"/>
    <w:rsid w:val="006802CF"/>
    <w:rsid w:val="006A169F"/>
    <w:rsid w:val="006B2CC4"/>
    <w:rsid w:val="006D1FDE"/>
    <w:rsid w:val="006D21C5"/>
    <w:rsid w:val="00707771"/>
    <w:rsid w:val="007102A2"/>
    <w:rsid w:val="00714D68"/>
    <w:rsid w:val="00727975"/>
    <w:rsid w:val="00744625"/>
    <w:rsid w:val="00744F7A"/>
    <w:rsid w:val="00786388"/>
    <w:rsid w:val="007A25C9"/>
    <w:rsid w:val="007A3CF0"/>
    <w:rsid w:val="007B1C2B"/>
    <w:rsid w:val="007D448D"/>
    <w:rsid w:val="007E5F68"/>
    <w:rsid w:val="007E6E59"/>
    <w:rsid w:val="00814503"/>
    <w:rsid w:val="008158F4"/>
    <w:rsid w:val="00821E3E"/>
    <w:rsid w:val="008258D7"/>
    <w:rsid w:val="00852418"/>
    <w:rsid w:val="00853D32"/>
    <w:rsid w:val="0087421F"/>
    <w:rsid w:val="0088119A"/>
    <w:rsid w:val="00884520"/>
    <w:rsid w:val="0088664F"/>
    <w:rsid w:val="008A186E"/>
    <w:rsid w:val="008B294A"/>
    <w:rsid w:val="008B5EE3"/>
    <w:rsid w:val="00935458"/>
    <w:rsid w:val="00943C7A"/>
    <w:rsid w:val="009638BF"/>
    <w:rsid w:val="00971335"/>
    <w:rsid w:val="00976732"/>
    <w:rsid w:val="009A1397"/>
    <w:rsid w:val="009E3411"/>
    <w:rsid w:val="009E4953"/>
    <w:rsid w:val="009E7FC8"/>
    <w:rsid w:val="00A21134"/>
    <w:rsid w:val="00A31893"/>
    <w:rsid w:val="00A715ED"/>
    <w:rsid w:val="00A849D1"/>
    <w:rsid w:val="00A92B51"/>
    <w:rsid w:val="00A94768"/>
    <w:rsid w:val="00A95D2B"/>
    <w:rsid w:val="00AA3351"/>
    <w:rsid w:val="00AA64AB"/>
    <w:rsid w:val="00AB075A"/>
    <w:rsid w:val="00AB5101"/>
    <w:rsid w:val="00AB7502"/>
    <w:rsid w:val="00AC09E6"/>
    <w:rsid w:val="00AD7FA3"/>
    <w:rsid w:val="00AE5724"/>
    <w:rsid w:val="00AE7141"/>
    <w:rsid w:val="00B10B8E"/>
    <w:rsid w:val="00B1393C"/>
    <w:rsid w:val="00B907FE"/>
    <w:rsid w:val="00BA2A1F"/>
    <w:rsid w:val="00BD40B8"/>
    <w:rsid w:val="00BF2CF8"/>
    <w:rsid w:val="00C17404"/>
    <w:rsid w:val="00C24E35"/>
    <w:rsid w:val="00C55680"/>
    <w:rsid w:val="00C640C4"/>
    <w:rsid w:val="00C6432A"/>
    <w:rsid w:val="00C727D6"/>
    <w:rsid w:val="00C80E80"/>
    <w:rsid w:val="00CA1E0E"/>
    <w:rsid w:val="00CB0931"/>
    <w:rsid w:val="00CB4465"/>
    <w:rsid w:val="00CC4FE2"/>
    <w:rsid w:val="00CD4BB5"/>
    <w:rsid w:val="00CE1CA9"/>
    <w:rsid w:val="00D437BC"/>
    <w:rsid w:val="00D6736D"/>
    <w:rsid w:val="00D90FB8"/>
    <w:rsid w:val="00D94009"/>
    <w:rsid w:val="00DC3019"/>
    <w:rsid w:val="00DC320A"/>
    <w:rsid w:val="00DD179D"/>
    <w:rsid w:val="00DD3E04"/>
    <w:rsid w:val="00E125C7"/>
    <w:rsid w:val="00E15705"/>
    <w:rsid w:val="00E40FD5"/>
    <w:rsid w:val="00E4152B"/>
    <w:rsid w:val="00E54CF1"/>
    <w:rsid w:val="00E762EF"/>
    <w:rsid w:val="00E80CD6"/>
    <w:rsid w:val="00EB5F20"/>
    <w:rsid w:val="00ED3755"/>
    <w:rsid w:val="00EF1CA2"/>
    <w:rsid w:val="00F07C85"/>
    <w:rsid w:val="00F172C3"/>
    <w:rsid w:val="00F503BE"/>
    <w:rsid w:val="00F6181F"/>
    <w:rsid w:val="00F96327"/>
    <w:rsid w:val="00FB1EE2"/>
    <w:rsid w:val="00FB2795"/>
    <w:rsid w:val="00FB342C"/>
    <w:rsid w:val="00FC35DB"/>
    <w:rsid w:val="00FD45B3"/>
    <w:rsid w:val="00FD5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90FE"/>
  <w15:chartTrackingRefBased/>
  <w15:docId w15:val="{A8BAE347-6C02-41AA-8B34-CE07E5D7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321811"/>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paragraph" w:styleId="FootnoteText">
    <w:name w:val="footnote text"/>
    <w:basedOn w:val="Normal"/>
    <w:link w:val="FootnoteTextChar"/>
    <w:uiPriority w:val="99"/>
    <w:semiHidden/>
    <w:unhideWhenUsed/>
    <w:rsid w:val="006802CF"/>
    <w:pPr>
      <w:jc w:val="both"/>
    </w:pPr>
    <w:rPr>
      <w:rFonts w:ascii="Times New Roman" w:eastAsia="Calibri" w:hAnsi="Times New Roman"/>
      <w:sz w:val="20"/>
      <w:szCs w:val="20"/>
      <w:lang w:val="lv-LV" w:bidi="ar-SA"/>
    </w:rPr>
  </w:style>
  <w:style w:type="character" w:customStyle="1" w:styleId="FootnoteTextChar">
    <w:name w:val="Footnote Text Char"/>
    <w:basedOn w:val="DefaultParagraphFont"/>
    <w:link w:val="FootnoteText"/>
    <w:uiPriority w:val="99"/>
    <w:semiHidden/>
    <w:rsid w:val="006802CF"/>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6802CF"/>
    <w:rPr>
      <w:vertAlign w:val="superscript"/>
    </w:rPr>
  </w:style>
  <w:style w:type="character" w:styleId="CommentReference">
    <w:name w:val="annotation reference"/>
    <w:basedOn w:val="DefaultParagraphFont"/>
    <w:uiPriority w:val="99"/>
    <w:semiHidden/>
    <w:unhideWhenUsed/>
    <w:rsid w:val="00853D32"/>
    <w:rPr>
      <w:sz w:val="16"/>
      <w:szCs w:val="16"/>
    </w:rPr>
  </w:style>
  <w:style w:type="paragraph" w:styleId="CommentText">
    <w:name w:val="annotation text"/>
    <w:basedOn w:val="Normal"/>
    <w:link w:val="CommentTextChar"/>
    <w:uiPriority w:val="99"/>
    <w:semiHidden/>
    <w:unhideWhenUsed/>
    <w:rsid w:val="00853D32"/>
    <w:rPr>
      <w:sz w:val="20"/>
      <w:szCs w:val="20"/>
    </w:rPr>
  </w:style>
  <w:style w:type="character" w:customStyle="1" w:styleId="CommentTextChar">
    <w:name w:val="Comment Text Char"/>
    <w:basedOn w:val="DefaultParagraphFont"/>
    <w:link w:val="CommentText"/>
    <w:uiPriority w:val="99"/>
    <w:semiHidden/>
    <w:rsid w:val="00853D32"/>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853D32"/>
    <w:rPr>
      <w:b/>
      <w:bCs/>
    </w:rPr>
  </w:style>
  <w:style w:type="character" w:customStyle="1" w:styleId="CommentSubjectChar">
    <w:name w:val="Comment Subject Char"/>
    <w:basedOn w:val="CommentTextChar"/>
    <w:link w:val="CommentSubject"/>
    <w:uiPriority w:val="99"/>
    <w:semiHidden/>
    <w:rsid w:val="00853D32"/>
    <w:rPr>
      <w:rFonts w:ascii="Calibri" w:eastAsia="Times New Roman" w:hAnsi="Calibri"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3281</Words>
  <Characters>1871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4</cp:revision>
  <dcterms:created xsi:type="dcterms:W3CDTF">2018-09-28T12:56:00Z</dcterms:created>
  <dcterms:modified xsi:type="dcterms:W3CDTF">2018-10-11T08:01:00Z</dcterms:modified>
</cp:coreProperties>
</file>