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29D4" w14:textId="2197BBF2" w:rsidR="002B1A17" w:rsidRPr="00F54B51" w:rsidRDefault="00F54B51" w:rsidP="00F54B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B51">
        <w:rPr>
          <w:rFonts w:ascii="Times New Roman" w:hAnsi="Times New Roman" w:cs="Times New Roman"/>
          <w:b/>
          <w:bCs/>
          <w:sz w:val="24"/>
          <w:szCs w:val="24"/>
        </w:rPr>
        <w:t>LĪGUMS</w:t>
      </w:r>
    </w:p>
    <w:p w14:paraId="30C4A171" w14:textId="25F13141" w:rsidR="00F54B51" w:rsidRPr="00F54B51" w:rsidRDefault="00F54B51" w:rsidP="00F54B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B51">
        <w:rPr>
          <w:rFonts w:ascii="Times New Roman" w:hAnsi="Times New Roman" w:cs="Times New Roman"/>
          <w:b/>
          <w:bCs/>
          <w:sz w:val="24"/>
          <w:szCs w:val="24"/>
        </w:rPr>
        <w:t xml:space="preserve">par komandējuma izdevumu kompensāciju Latvijas dalībniekiem projekta </w:t>
      </w:r>
      <w:r w:rsidRPr="00F54B51">
        <w:rPr>
          <w:rFonts w:ascii="Times New Roman" w:hAnsi="Times New Roman" w:cs="Times New Roman"/>
          <w:b/>
          <w:bCs/>
          <w:noProof/>
          <w:sz w:val="24"/>
          <w:szCs w:val="24"/>
        </w:rPr>
        <w:t>Transnational network of national contact points (NCPS) for Widenning participation and strengthening the European Researsch Area tīklošanās pasākumos</w:t>
      </w:r>
    </w:p>
    <w:p w14:paraId="7260AAFC" w14:textId="77777777" w:rsidR="00F54B51" w:rsidRDefault="00F54B51"/>
    <w:p w14:paraId="54131C27" w14:textId="4CB3A475" w:rsidR="00F54B51" w:rsidRDefault="00F54B5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54B51">
        <w:rPr>
          <w:rFonts w:ascii="Times New Roman" w:hAnsi="Times New Roman" w:cs="Times New Roman"/>
          <w:i/>
          <w:iCs/>
          <w:sz w:val="24"/>
          <w:szCs w:val="24"/>
        </w:rPr>
        <w:t xml:space="preserve">Dokumenta numurs un datums ir elektroniski reģistrēts </w:t>
      </w:r>
    </w:p>
    <w:p w14:paraId="4A9624E6" w14:textId="77777777" w:rsidR="00F54B51" w:rsidRDefault="00F54B5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552CAAA" w14:textId="474AA35F" w:rsidR="00F54B51" w:rsidRDefault="00F54B51" w:rsidP="00F54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Latvijas Zinātnes padome (turpmāk – Padome), tās direktores Laumas Muižnieces personā, kura rīkojas saskaņā ar Ministru kabineta 2020.gada 30.jūnija noteikumiem Nr.408 “Latvijas Zinātnes padomes nolikums”, no vienas puses, un </w:t>
      </w:r>
    </w:p>
    <w:p w14:paraId="6485486D" w14:textId="2806790F" w:rsidR="00060E83" w:rsidRDefault="00060E83" w:rsidP="009A06A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(turpmāk – dalībnieks), adrese_______________, no otras puses, turpmāk kopā </w:t>
      </w:r>
      <w:r w:rsidR="009A06A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Puses</w:t>
      </w:r>
      <w:r w:rsidR="009A06A8">
        <w:rPr>
          <w:rFonts w:ascii="Times New Roman" w:hAnsi="Times New Roman" w:cs="Times New Roman"/>
          <w:sz w:val="24"/>
          <w:szCs w:val="24"/>
        </w:rPr>
        <w:t xml:space="preserve">, pamatojoties uz projektā </w:t>
      </w:r>
      <w:r w:rsidR="009A06A8" w:rsidRPr="009A06A8">
        <w:rPr>
          <w:rFonts w:ascii="Times New Roman" w:hAnsi="Times New Roman" w:cs="Times New Roman"/>
          <w:noProof/>
          <w:sz w:val="24"/>
          <w:szCs w:val="24"/>
        </w:rPr>
        <w:t>Transnational network of national contact points (NCPS) for Widenning participation and strengthening the European Researsch Area</w:t>
      </w:r>
      <w:r w:rsidR="009A06A8">
        <w:rPr>
          <w:rFonts w:ascii="Times New Roman" w:hAnsi="Times New Roman" w:cs="Times New Roman"/>
          <w:noProof/>
          <w:sz w:val="24"/>
          <w:szCs w:val="24"/>
        </w:rPr>
        <w:t xml:space="preserve"> paredzētajām aktivitātēm</w:t>
      </w:r>
      <w:r w:rsidR="00375F18">
        <w:rPr>
          <w:rFonts w:ascii="Times New Roman" w:hAnsi="Times New Roman" w:cs="Times New Roman"/>
          <w:noProof/>
          <w:sz w:val="24"/>
          <w:szCs w:val="24"/>
        </w:rPr>
        <w:t xml:space="preserve">, zinātnisko institūciju reģistrā iekļautās institūcijas saskaņojumu par dalībnieka dalību tīklošanās pasākumā, pasākuma rīkotāja apstiprinājumu dalībnieka dalībai pasākumā  </w:t>
      </w:r>
      <w:r w:rsidR="009A06A8">
        <w:rPr>
          <w:rFonts w:ascii="Times New Roman" w:hAnsi="Times New Roman" w:cs="Times New Roman"/>
          <w:noProof/>
          <w:sz w:val="24"/>
          <w:szCs w:val="24"/>
        </w:rPr>
        <w:t xml:space="preserve"> un dalībnieka Latvijas Zinātnes padomē apstiprināto pieteikumu, noslēdz šādu vienošanos (turpmāk – vienošanās): </w:t>
      </w:r>
    </w:p>
    <w:p w14:paraId="202818ED" w14:textId="77777777" w:rsidR="009A06A8" w:rsidRPr="009A06A8" w:rsidRDefault="009A06A8" w:rsidP="009A06A8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8CF405C" w14:textId="63198FF5" w:rsidR="009A06A8" w:rsidRDefault="009A06A8" w:rsidP="009A06A8">
      <w:pPr>
        <w:pStyle w:val="Sarakstarindko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6A8">
        <w:rPr>
          <w:rFonts w:ascii="Times New Roman" w:hAnsi="Times New Roman" w:cs="Times New Roman"/>
          <w:b/>
          <w:bCs/>
          <w:sz w:val="24"/>
          <w:szCs w:val="24"/>
        </w:rPr>
        <w:t>VIENOŠANĀS PRIEKŠMETS</w:t>
      </w:r>
    </w:p>
    <w:p w14:paraId="5E53CDD8" w14:textId="77777777" w:rsidR="009A06A8" w:rsidRPr="009A06A8" w:rsidRDefault="009A06A8" w:rsidP="009A06A8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A8F45" w14:textId="33C46A39" w:rsidR="00F54B51" w:rsidRDefault="009A06A8" w:rsidP="009A06A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Padome un Dalībnieks vienojas par to, ka dalībnieks piedalās projekta “</w:t>
      </w:r>
      <w:r w:rsidRPr="009A06A8">
        <w:rPr>
          <w:rFonts w:ascii="Times New Roman" w:hAnsi="Times New Roman" w:cs="Times New Roman"/>
          <w:noProof/>
          <w:sz w:val="24"/>
          <w:szCs w:val="24"/>
        </w:rPr>
        <w:t>Transnational network of national contact points (NCPS) for Widenning participation and strengthening the European Researsch Area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 tīklošanās pasākumā </w:t>
      </w:r>
      <w:r w:rsidRPr="009A06A8">
        <w:rPr>
          <w:rFonts w:ascii="Times New Roman" w:hAnsi="Times New Roman" w:cs="Times New Roman"/>
          <w:noProof/>
          <w:color w:val="FF0000"/>
          <w:sz w:val="24"/>
          <w:szCs w:val="24"/>
        </w:rPr>
        <w:t>/laiks, vieta, organizētājs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/ . </w:t>
      </w:r>
    </w:p>
    <w:p w14:paraId="50C0D034" w14:textId="77777777" w:rsidR="009A06A8" w:rsidRDefault="009A06A8" w:rsidP="009A06A8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5D520DDB" w14:textId="41C8BAD9" w:rsidR="009A06A8" w:rsidRDefault="009A06A8" w:rsidP="009A06A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Maksimālā kopējā summa, ko Padome kompensē dalībniekam ir 1 000 (viens tūkstotis) eiro.</w:t>
      </w:r>
      <w:r w:rsidR="00CE1807">
        <w:rPr>
          <w:rFonts w:ascii="Times New Roman" w:hAnsi="Times New Roman" w:cs="Times New Roman"/>
          <w:sz w:val="24"/>
          <w:szCs w:val="24"/>
        </w:rPr>
        <w:t xml:space="preserve"> Padome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807">
        <w:rPr>
          <w:rFonts w:ascii="Times New Roman" w:hAnsi="Times New Roman" w:cs="Times New Roman"/>
          <w:sz w:val="24"/>
          <w:szCs w:val="24"/>
        </w:rPr>
        <w:t xml:space="preserve">kompensāciju par dalību pasākumā izmaksā saskaņā ar Ministru kabineta 2010.gada 12.oktobra noteikumiem Nr.969 “Kārtība, kādā atlīdzināmi ar komandējumu saistītie izdevumi”. </w:t>
      </w:r>
    </w:p>
    <w:p w14:paraId="38B6BB57" w14:textId="77777777" w:rsidR="00CE1807" w:rsidRPr="00CE1807" w:rsidRDefault="00CE1807" w:rsidP="00CE1807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27B07CF6" w14:textId="5BFE940F" w:rsidR="00CE1807" w:rsidRDefault="00CE1807" w:rsidP="00CE1807">
      <w:pPr>
        <w:pStyle w:val="Sarakstarindko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807">
        <w:rPr>
          <w:rFonts w:ascii="Times New Roman" w:hAnsi="Times New Roman" w:cs="Times New Roman"/>
          <w:b/>
          <w:bCs/>
          <w:sz w:val="24"/>
          <w:szCs w:val="24"/>
        </w:rPr>
        <w:t>PUŠU TIESĪBAS UN PIENĀKUMI</w:t>
      </w:r>
    </w:p>
    <w:p w14:paraId="53CD32E4" w14:textId="77777777" w:rsidR="00CE1807" w:rsidRDefault="00CE1807" w:rsidP="00CE1807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2B5B0" w14:textId="4CB4FE88" w:rsidR="00CE1807" w:rsidRDefault="00CE1807" w:rsidP="00CE180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Dalībnieks saņem izdevumu kompensāciju, pamatojoties uz Padomei iesniegtajiem attaisnojuma dokumentiem par dalību pasākumā (piemēram, autobusa biļetes</w:t>
      </w:r>
      <w:r w:rsidR="009946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viesnīcas rēķini, maksājuma uzdevumi, kontu izdrukas, rīkojums par komandējumu). </w:t>
      </w:r>
    </w:p>
    <w:p w14:paraId="09A42BC1" w14:textId="77777777" w:rsidR="00CE1807" w:rsidRDefault="00CE1807" w:rsidP="00CE180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6366C6E0" w14:textId="3CC48982" w:rsidR="00CE1807" w:rsidRDefault="00CE1807" w:rsidP="00CE180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Dalībnieks 10 (desmit) dienu laikā pēc pasākuma noslēguma dienas iesniedz </w:t>
      </w:r>
      <w:r w:rsidR="00375F18">
        <w:rPr>
          <w:rFonts w:ascii="Times New Roman" w:hAnsi="Times New Roman" w:cs="Times New Roman"/>
          <w:sz w:val="24"/>
          <w:szCs w:val="24"/>
        </w:rPr>
        <w:t>Padomē</w:t>
      </w:r>
      <w:r>
        <w:rPr>
          <w:rFonts w:ascii="Times New Roman" w:hAnsi="Times New Roman" w:cs="Times New Roman"/>
          <w:sz w:val="24"/>
          <w:szCs w:val="24"/>
        </w:rPr>
        <w:t xml:space="preserve"> izdevumus attaisnojošos dokumentus par dalību pasākumā (1.pielikums)</w:t>
      </w:r>
      <w:r w:rsidR="009946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pārskatu par dalību pasākumā (2.pielikums)</w:t>
      </w:r>
      <w:r w:rsidR="00994697">
        <w:rPr>
          <w:rFonts w:ascii="Times New Roman" w:hAnsi="Times New Roman" w:cs="Times New Roman"/>
          <w:sz w:val="24"/>
          <w:szCs w:val="24"/>
        </w:rPr>
        <w:t xml:space="preserve"> un </w:t>
      </w:r>
      <w:r w:rsidR="00994697">
        <w:rPr>
          <w:rFonts w:ascii="Times New Roman" w:hAnsi="Times New Roman"/>
          <w:sz w:val="24"/>
          <w:szCs w:val="24"/>
        </w:rPr>
        <w:t>komandējuma rīkojumu no Zinātniskās organizācijas, kuru pārstāv Latvijas dalībnieks, ar norādi pa komandējuma finansējuma avotu.</w:t>
      </w:r>
    </w:p>
    <w:p w14:paraId="6AAAE5FB" w14:textId="77777777" w:rsidR="00CE1807" w:rsidRPr="00CE1807" w:rsidRDefault="00CE1807" w:rsidP="00CE1807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3D43BCB3" w14:textId="33F4709A" w:rsidR="00CE1807" w:rsidRDefault="00CE1807" w:rsidP="00CE180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Pamatojoties uz dalībnieka iesniegtajiem dokumentiem, Padome veic izdevumu atmaksu dalībniekam atbilstoši faktiskajiem izdevumiem, nepārsniedzot 1.2.punktā noteikto limitu. </w:t>
      </w:r>
    </w:p>
    <w:p w14:paraId="2F6AD858" w14:textId="77777777" w:rsidR="00CE1807" w:rsidRPr="00CE1807" w:rsidRDefault="00CE1807" w:rsidP="00CE1807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1CE8F0CE" w14:textId="31B26090" w:rsidR="00CE1807" w:rsidRDefault="00CE1807" w:rsidP="00CE180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dalībnieks neiesniedz 2.2.punktā noteiktajā termiņā </w:t>
      </w:r>
      <w:r w:rsidR="00761076">
        <w:rPr>
          <w:rFonts w:ascii="Times New Roman" w:hAnsi="Times New Roman" w:cs="Times New Roman"/>
          <w:sz w:val="24"/>
          <w:szCs w:val="24"/>
        </w:rPr>
        <w:t xml:space="preserve">izdevumus attaisnojošos dokumentus, Padomei ir tiesības atteikt izdevumu atmaksu. </w:t>
      </w:r>
    </w:p>
    <w:p w14:paraId="238FB50D" w14:textId="77777777" w:rsidR="00761076" w:rsidRDefault="00761076" w:rsidP="0076107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77C4E3C" w14:textId="0BEFDEEE" w:rsidR="00761076" w:rsidRDefault="00761076" w:rsidP="00761076">
      <w:pPr>
        <w:pStyle w:val="Sarakstarindko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076">
        <w:rPr>
          <w:rFonts w:ascii="Times New Roman" w:hAnsi="Times New Roman" w:cs="Times New Roman"/>
          <w:b/>
          <w:bCs/>
          <w:sz w:val="24"/>
          <w:szCs w:val="24"/>
        </w:rPr>
        <w:t>NORĒĶINU KĀRTĪBA</w:t>
      </w:r>
    </w:p>
    <w:p w14:paraId="3E720B48" w14:textId="77777777" w:rsidR="00761076" w:rsidRDefault="00761076" w:rsidP="00761076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92B2E" w14:textId="3AFDB695" w:rsidR="00761076" w:rsidRDefault="00761076" w:rsidP="0076107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076">
        <w:rPr>
          <w:rFonts w:ascii="Times New Roman" w:hAnsi="Times New Roman" w:cs="Times New Roman"/>
          <w:sz w:val="24"/>
          <w:szCs w:val="24"/>
        </w:rPr>
        <w:t xml:space="preserve">Padome veic izdevumu atmaksu, veicot pārskaitījumu uz Dalībnieka norādīto bankas kontu. </w:t>
      </w:r>
    </w:p>
    <w:p w14:paraId="023C835D" w14:textId="77777777" w:rsidR="00761076" w:rsidRDefault="00761076" w:rsidP="0076107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2812730D" w14:textId="2D702248" w:rsidR="00761076" w:rsidRDefault="00761076" w:rsidP="0076107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Par norēķinu veikšanas dienu ir uzskatāma diena, kad </w:t>
      </w:r>
      <w:r w:rsidR="00994697">
        <w:rPr>
          <w:rFonts w:ascii="Times New Roman" w:hAnsi="Times New Roman" w:cs="Times New Roman"/>
          <w:sz w:val="24"/>
          <w:szCs w:val="24"/>
        </w:rPr>
        <w:t>Padome</w:t>
      </w:r>
      <w:r>
        <w:rPr>
          <w:rFonts w:ascii="Times New Roman" w:hAnsi="Times New Roman" w:cs="Times New Roman"/>
          <w:sz w:val="24"/>
          <w:szCs w:val="24"/>
        </w:rPr>
        <w:t xml:space="preserve"> ir iesniegusi maksājumu uzdevumu kredītiestādē. </w:t>
      </w:r>
    </w:p>
    <w:p w14:paraId="0B326818" w14:textId="77777777" w:rsidR="00761076" w:rsidRPr="00761076" w:rsidRDefault="00761076" w:rsidP="00761076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6F3624E5" w14:textId="6A21B30D" w:rsidR="00761076" w:rsidRDefault="00761076" w:rsidP="00761076">
      <w:pPr>
        <w:pStyle w:val="Sarakstarindko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076">
        <w:rPr>
          <w:rFonts w:ascii="Times New Roman" w:hAnsi="Times New Roman" w:cs="Times New Roman"/>
          <w:b/>
          <w:bCs/>
          <w:sz w:val="24"/>
          <w:szCs w:val="24"/>
        </w:rPr>
        <w:t>PUŠU ATBILDĪBA UN STRĪDU RISINĀŠANAS KĀRTĪBA</w:t>
      </w:r>
    </w:p>
    <w:p w14:paraId="17900714" w14:textId="77777777" w:rsidR="00761076" w:rsidRDefault="00761076" w:rsidP="00761076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888E4" w14:textId="7C4D54C8" w:rsidR="00761076" w:rsidRDefault="00761076" w:rsidP="0076107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076">
        <w:rPr>
          <w:rFonts w:ascii="Times New Roman" w:hAnsi="Times New Roman" w:cs="Times New Roman"/>
          <w:sz w:val="24"/>
          <w:szCs w:val="24"/>
        </w:rPr>
        <w:t xml:space="preserve"> Strīdus un domstarpības, kas rodas šīs vienošanās izpildes gaitā, Puses risina sarunu ceļā. Sarunu norisi protokolē un vienošanos noformē rakstveidā. </w:t>
      </w:r>
    </w:p>
    <w:p w14:paraId="291FBDA2" w14:textId="77777777" w:rsidR="00761076" w:rsidRDefault="00761076" w:rsidP="0076107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7ECE0DAE" w14:textId="33C36E96" w:rsidR="00761076" w:rsidRDefault="00761076" w:rsidP="0076107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 Puses nevar vienoties, strīdu izskata Latvijas Republikā normatīvajos aktos noteiktajā kārtībā. </w:t>
      </w:r>
    </w:p>
    <w:p w14:paraId="0755456E" w14:textId="77777777" w:rsidR="00761076" w:rsidRPr="00761076" w:rsidRDefault="00761076" w:rsidP="00761076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3536833B" w14:textId="7E0703B1" w:rsidR="00761076" w:rsidRDefault="00761076" w:rsidP="00761076">
      <w:pPr>
        <w:pStyle w:val="Sarakstarindko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076">
        <w:rPr>
          <w:rFonts w:ascii="Times New Roman" w:hAnsi="Times New Roman" w:cs="Times New Roman"/>
          <w:b/>
          <w:bCs/>
          <w:sz w:val="24"/>
          <w:szCs w:val="24"/>
        </w:rPr>
        <w:t>CITI NOTEIKUMI</w:t>
      </w:r>
    </w:p>
    <w:p w14:paraId="28EAFCB1" w14:textId="77777777" w:rsidR="00761076" w:rsidRDefault="00761076" w:rsidP="00761076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69E5E" w14:textId="04014501" w:rsidR="00761076" w:rsidRDefault="00761076" w:rsidP="00B56DD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DD6">
        <w:rPr>
          <w:rFonts w:ascii="Times New Roman" w:hAnsi="Times New Roman" w:cs="Times New Roman"/>
          <w:sz w:val="24"/>
          <w:szCs w:val="24"/>
        </w:rPr>
        <w:t xml:space="preserve">Katra Puse apņemas neveikt tādas darbības, kuras tieši vai netieši var nodarīt zaudējumus otras Puses reputācijai, prestižam un citām aizsargātām interesēm. </w:t>
      </w:r>
    </w:p>
    <w:p w14:paraId="1AF05FAD" w14:textId="77777777" w:rsidR="00B56DD6" w:rsidRDefault="00B56DD6" w:rsidP="00B56DD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77DD95C3" w14:textId="43D6D2F0" w:rsidR="00B56DD6" w:rsidRDefault="00B56DD6" w:rsidP="00B56DD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Padomes kontaktpersona: Starptautiskās sadarbības programmu projektu departamenta APVĀRNIS EIROPA Nacionālā kontaktpunkta vecākā eksperte Darja Aksjonova, elektroniskā pasta adrese: </w:t>
      </w:r>
      <w:hyperlink r:id="rId7" w:history="1">
        <w:r w:rsidRPr="00F766D0">
          <w:rPr>
            <w:rStyle w:val="Hipersaite"/>
            <w:rFonts w:ascii="Times New Roman" w:hAnsi="Times New Roman" w:cs="Times New Roman"/>
            <w:sz w:val="24"/>
            <w:szCs w:val="24"/>
          </w:rPr>
          <w:t>darja.aksjonova@lzp.gov.lv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tālrunis __________________. </w:t>
      </w:r>
    </w:p>
    <w:p w14:paraId="75EC1C88" w14:textId="77777777" w:rsidR="00B56DD6" w:rsidRPr="00B56DD6" w:rsidRDefault="00B56DD6" w:rsidP="00B56DD6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574A8569" w14:textId="7E59BD8E" w:rsidR="00B56DD6" w:rsidRDefault="00B56DD6" w:rsidP="00B56DD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Dalībnieka kontaktinformācija: </w:t>
      </w:r>
    </w:p>
    <w:p w14:paraId="66AC36F7" w14:textId="77777777" w:rsidR="00B56DD6" w:rsidRPr="00B56DD6" w:rsidRDefault="00B56DD6" w:rsidP="00B56DD6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042A5284" w14:textId="588B9352" w:rsidR="00B56DD6" w:rsidRDefault="00B56DD6" w:rsidP="00B56DD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Elektroniskā pasta adrese: _______________, mobilā tālruņa Nr._________________. </w:t>
      </w:r>
    </w:p>
    <w:p w14:paraId="6DE38528" w14:textId="77777777" w:rsidR="00B56DD6" w:rsidRDefault="00B56DD6" w:rsidP="00B56DD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2C4A4AB1" w14:textId="2078AE2D" w:rsidR="00B56DD6" w:rsidRDefault="00B56DD6" w:rsidP="00B56DD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Padomes kontaktpersona un dalībnieks veic vienošanās izpildei nepieciešamās darbības (piemēram, elektroniski apmainās ar informāciju, vienojas par atskaišu iesniegšanu un precizēšanu), taču tām nav tiesību grozīt vienošanās noteikumus. </w:t>
      </w:r>
    </w:p>
    <w:p w14:paraId="2CB7FB34" w14:textId="77777777" w:rsidR="00B56DD6" w:rsidRDefault="00B56DD6" w:rsidP="00B56DD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40CB3233" w14:textId="20163231" w:rsidR="00B56DD6" w:rsidRDefault="00B56DD6" w:rsidP="00B56DD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Pusēm ir tiesības rīkot nepieciešamās tikšanās, pārrunas, kā arī izpildīt citas saskaņotas darbības, kas saistītas ar šīs vienošanās noteikumu izpildi. </w:t>
      </w:r>
    </w:p>
    <w:p w14:paraId="7EC3F67E" w14:textId="77777777" w:rsidR="00B56DD6" w:rsidRPr="00B56DD6" w:rsidRDefault="00B56DD6" w:rsidP="00B56DD6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4DF9AF39" w14:textId="2AA59E99" w:rsidR="00B56DD6" w:rsidRDefault="00B56DD6" w:rsidP="00B56DD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Vienošanās ir sastādīta latviešu valodā uz </w:t>
      </w:r>
      <w:r w:rsidR="00D35F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35F84">
        <w:rPr>
          <w:rFonts w:ascii="Times New Roman" w:hAnsi="Times New Roman" w:cs="Times New Roman"/>
          <w:sz w:val="24"/>
          <w:szCs w:val="24"/>
        </w:rPr>
        <w:t>trim</w:t>
      </w:r>
      <w:r>
        <w:rPr>
          <w:rFonts w:ascii="Times New Roman" w:hAnsi="Times New Roman" w:cs="Times New Roman"/>
          <w:sz w:val="24"/>
          <w:szCs w:val="24"/>
        </w:rPr>
        <w:t xml:space="preserve">) lapām un tai ir pievienoti 2 (divi) pielikumi katrs uz ___ lapām, 2 (divos) identiskos eksemplāros – pa vienam katrai Pudei. Abiem eksemplāriem ir vienāds juridiskais spēks. </w:t>
      </w:r>
    </w:p>
    <w:p w14:paraId="050AE72A" w14:textId="77777777" w:rsidR="00375F18" w:rsidRPr="00375F18" w:rsidRDefault="00375F18" w:rsidP="00375F18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56EAB411" w14:textId="08D6DC73" w:rsidR="00375F18" w:rsidRDefault="00375F18" w:rsidP="00375F18">
      <w:pPr>
        <w:pStyle w:val="Sarakstarindkopa"/>
        <w:numPr>
          <w:ilvl w:val="0"/>
          <w:numId w:val="2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375F18">
        <w:rPr>
          <w:rFonts w:ascii="Times New Roman" w:hAnsi="Times New Roman" w:cs="Times New Roman"/>
          <w:sz w:val="24"/>
          <w:szCs w:val="24"/>
        </w:rPr>
        <w:t>Pielikums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75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pārskata forma par veiktajiem izdevumiem. </w:t>
      </w:r>
    </w:p>
    <w:p w14:paraId="3A958820" w14:textId="5F6D44ED" w:rsidR="00CE0460" w:rsidRDefault="00375F18" w:rsidP="00375F18">
      <w:pPr>
        <w:pStyle w:val="Sarakstarindkopa"/>
        <w:numPr>
          <w:ilvl w:val="0"/>
          <w:numId w:val="2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Pielikums: pārskata forma par dalību pasākumā. </w:t>
      </w:r>
    </w:p>
    <w:p w14:paraId="25194812" w14:textId="77777777" w:rsidR="00375F18" w:rsidRPr="00375F18" w:rsidRDefault="00375F18" w:rsidP="00375F18">
      <w:pPr>
        <w:pStyle w:val="Sarakstarindkopa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51B9D28" w14:textId="05C3C495" w:rsidR="00CE0460" w:rsidRPr="00CE0460" w:rsidRDefault="00CE0460" w:rsidP="00CE0460">
      <w:pPr>
        <w:pStyle w:val="Sarakstarindko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460">
        <w:rPr>
          <w:rFonts w:ascii="Times New Roman" w:hAnsi="Times New Roman" w:cs="Times New Roman"/>
          <w:b/>
          <w:bCs/>
          <w:sz w:val="24"/>
          <w:szCs w:val="24"/>
        </w:rPr>
        <w:t>PUŠU REKVIZĪTI UN PARAKSTI</w:t>
      </w:r>
    </w:p>
    <w:p w14:paraId="5776C34F" w14:textId="7DFA312E" w:rsidR="00CE0460" w:rsidRPr="00CE0460" w:rsidRDefault="00CE0460" w:rsidP="00CE0460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0460" w14:paraId="60C5B830" w14:textId="77777777" w:rsidTr="00CE0460">
        <w:tc>
          <w:tcPr>
            <w:tcW w:w="4508" w:type="dxa"/>
          </w:tcPr>
          <w:p w14:paraId="708A72D6" w14:textId="77777777" w:rsidR="00CE0460" w:rsidRPr="00CE0460" w:rsidRDefault="00CE0460" w:rsidP="00CE0460">
            <w:pPr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CE0460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Padome: </w:t>
            </w:r>
          </w:p>
          <w:p w14:paraId="271112B3" w14:textId="4155CE3F" w:rsidR="00CE0460" w:rsidRPr="00CE0460" w:rsidRDefault="00CE0460" w:rsidP="00CE0460">
            <w:pPr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CE0460">
              <w:rPr>
                <w:rFonts w:ascii="Times New Roman" w:hAnsi="Times New Roman"/>
                <w:bCs/>
                <w:noProof/>
                <w:sz w:val="26"/>
                <w:szCs w:val="26"/>
              </w:rPr>
              <w:t xml:space="preserve">Nodokļu maksātāja reģistrācijas Nr. </w:t>
            </w:r>
            <w:r w:rsidRPr="00CE0460"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  <w:t> </w:t>
            </w:r>
          </w:p>
          <w:p w14:paraId="65C23130" w14:textId="6DC43B09" w:rsidR="00CE0460" w:rsidRPr="00CE0460" w:rsidRDefault="00CE0460" w:rsidP="00CE0460">
            <w:pPr>
              <w:shd w:val="clear" w:color="auto" w:fill="FFFFFF"/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</w:pPr>
            <w:r w:rsidRPr="00CE0460"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  <w:t>90000048222</w:t>
            </w:r>
          </w:p>
          <w:p w14:paraId="54E3ACBF" w14:textId="21247EA0" w:rsidR="00CE0460" w:rsidRPr="00CE0460" w:rsidRDefault="00CE0460" w:rsidP="00CE0460">
            <w:pPr>
              <w:shd w:val="clear" w:color="auto" w:fill="FFFFFF"/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</w:pPr>
            <w:r w:rsidRPr="00CE0460"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  <w:t>LV02TREL215017202700B</w:t>
            </w:r>
          </w:p>
          <w:p w14:paraId="3D66F7A0" w14:textId="77777777" w:rsidR="00CE0460" w:rsidRPr="00CE0460" w:rsidRDefault="00CE0460" w:rsidP="00CE0460">
            <w:pPr>
              <w:shd w:val="clear" w:color="auto" w:fill="FFFFFF"/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</w:pPr>
            <w:r w:rsidRPr="00CE0460"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  <w:t>Valsts kase</w:t>
            </w:r>
          </w:p>
          <w:p w14:paraId="32367F9B" w14:textId="77777777" w:rsidR="00CE0460" w:rsidRPr="00CE0460" w:rsidRDefault="00CE0460" w:rsidP="00CE0460">
            <w:pPr>
              <w:shd w:val="clear" w:color="auto" w:fill="FFFFFF"/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</w:pPr>
            <w:r w:rsidRPr="00CE0460"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  <w:t>Bankas kods:</w:t>
            </w:r>
          </w:p>
          <w:p w14:paraId="391D5C39" w14:textId="4D8E4008" w:rsidR="00CE0460" w:rsidRPr="00CE0460" w:rsidRDefault="00CE0460" w:rsidP="00CE0460">
            <w:pPr>
              <w:shd w:val="clear" w:color="auto" w:fill="FFFFFF"/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</w:pPr>
            <w:r w:rsidRPr="00CE0460"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  <w:t>TRELLV22XXX</w:t>
            </w:r>
          </w:p>
          <w:p w14:paraId="0AF75540" w14:textId="77777777" w:rsidR="00CE0460" w:rsidRPr="00CE0460" w:rsidRDefault="00CE0460" w:rsidP="00CE0460">
            <w:pPr>
              <w:shd w:val="clear" w:color="auto" w:fill="FFFFFF"/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</w:pPr>
            <w:r w:rsidRPr="00CE0460"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  <w:t>Adrese</w:t>
            </w:r>
          </w:p>
          <w:p w14:paraId="7A19BF76" w14:textId="653B4D31" w:rsidR="00CE0460" w:rsidRPr="00CE0460" w:rsidRDefault="00CE0460" w:rsidP="00CE0460">
            <w:pPr>
              <w:shd w:val="clear" w:color="auto" w:fill="FFFFFF"/>
              <w:rPr>
                <w:rFonts w:ascii="RobustaTLPro-Regular" w:eastAsia="Times New Roman" w:hAnsi="RobustaTLPro-Regular" w:cs="Times New Roman"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</w:pPr>
            <w:r w:rsidRPr="00CE0460">
              <w:rPr>
                <w:rFonts w:ascii="RobustaTLPro-Regular" w:eastAsia="Times New Roman" w:hAnsi="RobustaTLPro-Regular" w:cs="Times New Roman"/>
                <w:bCs/>
                <w:color w:val="212529"/>
                <w:kern w:val="0"/>
                <w:sz w:val="23"/>
                <w:szCs w:val="23"/>
                <w:lang w:eastAsia="lv-LV"/>
                <w14:ligatures w14:val="none"/>
              </w:rPr>
              <w:t>Smilšu iela 8, Rīga, LV-1050</w:t>
            </w:r>
          </w:p>
        </w:tc>
        <w:tc>
          <w:tcPr>
            <w:tcW w:w="4508" w:type="dxa"/>
          </w:tcPr>
          <w:p w14:paraId="558D080F" w14:textId="77777777" w:rsidR="00CE0460" w:rsidRDefault="00CE0460" w:rsidP="00CE0460">
            <w:pPr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Dalībnieks: </w:t>
            </w:r>
          </w:p>
          <w:p w14:paraId="1AE14AF1" w14:textId="77777777" w:rsidR="00CE0460" w:rsidRPr="00CE0460" w:rsidRDefault="00CE0460" w:rsidP="00CE0460">
            <w:pPr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CE0460">
              <w:rPr>
                <w:rFonts w:ascii="Times New Roman" w:hAnsi="Times New Roman"/>
                <w:bCs/>
                <w:noProof/>
                <w:sz w:val="26"/>
                <w:szCs w:val="26"/>
              </w:rPr>
              <w:t>Vārds, Uzvārds</w:t>
            </w:r>
          </w:p>
          <w:p w14:paraId="28C93CCD" w14:textId="77777777" w:rsidR="00CE0460" w:rsidRPr="00CE0460" w:rsidRDefault="00CE0460" w:rsidP="00CE0460">
            <w:pPr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CE0460">
              <w:rPr>
                <w:rFonts w:ascii="Times New Roman" w:hAnsi="Times New Roman"/>
                <w:bCs/>
                <w:noProof/>
                <w:sz w:val="26"/>
                <w:szCs w:val="26"/>
              </w:rPr>
              <w:t xml:space="preserve">Personas kods: </w:t>
            </w:r>
          </w:p>
          <w:p w14:paraId="3918B6E3" w14:textId="77777777" w:rsidR="00CE0460" w:rsidRPr="00CE0460" w:rsidRDefault="00CE0460" w:rsidP="00CE0460">
            <w:pPr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CE0460">
              <w:rPr>
                <w:rFonts w:ascii="Times New Roman" w:hAnsi="Times New Roman"/>
                <w:bCs/>
                <w:noProof/>
                <w:sz w:val="26"/>
                <w:szCs w:val="26"/>
              </w:rPr>
              <w:t xml:space="preserve">Adrese: </w:t>
            </w:r>
          </w:p>
          <w:p w14:paraId="7280E386" w14:textId="77777777" w:rsidR="00CE0460" w:rsidRPr="00CE0460" w:rsidRDefault="00CE0460" w:rsidP="00CE0460">
            <w:pPr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CE0460">
              <w:rPr>
                <w:rFonts w:ascii="Times New Roman" w:hAnsi="Times New Roman"/>
                <w:bCs/>
                <w:noProof/>
                <w:sz w:val="26"/>
                <w:szCs w:val="26"/>
              </w:rPr>
              <w:t xml:space="preserve">Krdītiestāde: </w:t>
            </w:r>
          </w:p>
          <w:p w14:paraId="5AFD24A2" w14:textId="77777777" w:rsidR="00CE0460" w:rsidRPr="00CE0460" w:rsidRDefault="00CE0460" w:rsidP="00CE0460">
            <w:pPr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CE0460">
              <w:rPr>
                <w:rFonts w:ascii="Times New Roman" w:hAnsi="Times New Roman"/>
                <w:bCs/>
                <w:noProof/>
                <w:sz w:val="26"/>
                <w:szCs w:val="26"/>
              </w:rPr>
              <w:t xml:space="preserve">Kods: </w:t>
            </w:r>
          </w:p>
          <w:p w14:paraId="48D2F9CB" w14:textId="14B3CD88" w:rsidR="00CE0460" w:rsidRDefault="00CE0460" w:rsidP="00CE0460">
            <w:pPr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CE0460">
              <w:rPr>
                <w:rFonts w:ascii="Times New Roman" w:hAnsi="Times New Roman"/>
                <w:bCs/>
                <w:noProof/>
                <w:sz w:val="26"/>
                <w:szCs w:val="26"/>
              </w:rPr>
              <w:t>Konts: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</w:t>
            </w:r>
          </w:p>
        </w:tc>
      </w:tr>
    </w:tbl>
    <w:p w14:paraId="0A0BAC42" w14:textId="49623421" w:rsidR="00F54B51" w:rsidRPr="00CE0460" w:rsidRDefault="00F54B51" w:rsidP="00CE0460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</w:p>
    <w:sectPr w:rsidR="00F54B51" w:rsidRPr="00CE046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78A40" w14:textId="77777777" w:rsidR="00557BB1" w:rsidRDefault="00557BB1" w:rsidP="00F54B51">
      <w:pPr>
        <w:spacing w:after="0" w:line="240" w:lineRule="auto"/>
      </w:pPr>
      <w:r>
        <w:separator/>
      </w:r>
    </w:p>
  </w:endnote>
  <w:endnote w:type="continuationSeparator" w:id="0">
    <w:p w14:paraId="673A8BD1" w14:textId="77777777" w:rsidR="00557BB1" w:rsidRDefault="00557BB1" w:rsidP="00F5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496A" w14:textId="7B5283D3" w:rsidR="00F54B51" w:rsidRPr="00F54B51" w:rsidRDefault="00F54B51" w:rsidP="00F54B51">
    <w:pPr>
      <w:pStyle w:val="Kjene"/>
      <w:jc w:val="center"/>
      <w:rPr>
        <w:rFonts w:ascii="Times New Roman" w:hAnsi="Times New Roman" w:cs="Times New Roman"/>
        <w:sz w:val="24"/>
        <w:szCs w:val="24"/>
      </w:rPr>
    </w:pPr>
    <w:r w:rsidRPr="00F54B51">
      <w:rPr>
        <w:rFonts w:ascii="Times New Roman" w:hAnsi="Times New Roman" w:cs="Times New Roman"/>
        <w:sz w:val="24"/>
        <w:szCs w:val="24"/>
      </w:rPr>
      <w:t>DOKUMENTS IR ELEKTRONISKI PARAKSTĪTS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6C42C" w14:textId="77777777" w:rsidR="00557BB1" w:rsidRDefault="00557BB1" w:rsidP="00F54B51">
      <w:pPr>
        <w:spacing w:after="0" w:line="240" w:lineRule="auto"/>
      </w:pPr>
      <w:r>
        <w:separator/>
      </w:r>
    </w:p>
  </w:footnote>
  <w:footnote w:type="continuationSeparator" w:id="0">
    <w:p w14:paraId="6E9D2EB3" w14:textId="77777777" w:rsidR="00557BB1" w:rsidRDefault="00557BB1" w:rsidP="00F54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79DC"/>
    <w:multiLevelType w:val="hybridMultilevel"/>
    <w:tmpl w:val="24063F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53F93"/>
    <w:multiLevelType w:val="multilevel"/>
    <w:tmpl w:val="B90EE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51"/>
    <w:rsid w:val="0000477C"/>
    <w:rsid w:val="00060E83"/>
    <w:rsid w:val="0009551E"/>
    <w:rsid w:val="000B71DF"/>
    <w:rsid w:val="0016373D"/>
    <w:rsid w:val="002B1A17"/>
    <w:rsid w:val="00375F18"/>
    <w:rsid w:val="00557BB1"/>
    <w:rsid w:val="005C221C"/>
    <w:rsid w:val="00761076"/>
    <w:rsid w:val="007F527E"/>
    <w:rsid w:val="00994697"/>
    <w:rsid w:val="009A06A8"/>
    <w:rsid w:val="009A1640"/>
    <w:rsid w:val="00B56DD6"/>
    <w:rsid w:val="00BD0B03"/>
    <w:rsid w:val="00CE0460"/>
    <w:rsid w:val="00CE1807"/>
    <w:rsid w:val="00D35F84"/>
    <w:rsid w:val="00F442C0"/>
    <w:rsid w:val="00F5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2683"/>
  <w15:chartTrackingRefBased/>
  <w15:docId w15:val="{F4241ED1-F085-49AB-8050-B745AC86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54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54B51"/>
  </w:style>
  <w:style w:type="paragraph" w:styleId="Kjene">
    <w:name w:val="footer"/>
    <w:basedOn w:val="Parasts"/>
    <w:link w:val="KjeneRakstz"/>
    <w:uiPriority w:val="99"/>
    <w:unhideWhenUsed/>
    <w:rsid w:val="00F54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54B51"/>
  </w:style>
  <w:style w:type="paragraph" w:styleId="Sarakstarindkopa">
    <w:name w:val="List Paragraph"/>
    <w:basedOn w:val="Parasts"/>
    <w:uiPriority w:val="34"/>
    <w:qFormat/>
    <w:rsid w:val="009A06A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56DD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56DD6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CE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866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742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95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67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rja.aksjonova@lzp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2945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Šķesters</dc:creator>
  <cp:keywords/>
  <dc:description/>
  <cp:lastModifiedBy>Sarmīte Mickeviča</cp:lastModifiedBy>
  <cp:revision>3</cp:revision>
  <cp:lastPrinted>2023-05-17T08:53:00Z</cp:lastPrinted>
  <dcterms:created xsi:type="dcterms:W3CDTF">2023-05-17T13:15:00Z</dcterms:created>
  <dcterms:modified xsi:type="dcterms:W3CDTF">2023-05-22T11:46:00Z</dcterms:modified>
</cp:coreProperties>
</file>