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149720D1" w14:textId="2D31051B" w:rsidR="006236D6" w:rsidRPr="005A1DB9" w:rsidRDefault="006236D6" w:rsidP="00A45169">
      <w:pPr>
        <w:spacing w:after="0"/>
        <w:jc w:val="right"/>
        <w:rPr>
          <w:rFonts w:ascii="Times New Roman" w:eastAsia="MS Mincho" w:hAnsi="Times New Roman" w:cs="Times New Roman"/>
          <w:sz w:val="24"/>
          <w:szCs w:val="24"/>
        </w:rPr>
      </w:pPr>
      <w:r>
        <w:rPr>
          <w:rFonts w:ascii="Times New Roman" w:hAnsi="Times New Roman"/>
          <w:sz w:val="24"/>
        </w:rPr>
        <w:t>to the  Regulations for the Open Call for Project Applications of the National Research Programme "</w:t>
      </w:r>
      <w:bookmarkStart w:id="0" w:name="_Hlk140070864"/>
      <w:sdt>
        <w:sdtPr>
          <w:rPr>
            <w:rFonts w:ascii="Times New Roman" w:hAnsi="Times New Roman" w:cs="Times New Roman"/>
            <w:sz w:val="24"/>
          </w:rPr>
          <w:id w:val="2060594541"/>
          <w:placeholder>
            <w:docPart w:val="F80FDCD67DB548FB877C15335BDE166F"/>
          </w:placeholder>
        </w:sdtPr>
        <w:sdtEndPr/>
        <w:sdtContent>
          <w:r>
            <w:rPr>
              <w:rFonts w:ascii="Times New Roman" w:hAnsi="Times New Roman"/>
              <w:sz w:val="24"/>
            </w:rPr>
            <w:t>Public Health</w:t>
          </w:r>
        </w:sdtContent>
      </w:sdt>
      <w:bookmarkEnd w:id="0"/>
      <w:r>
        <w:rPr>
          <w:rFonts w:ascii="Times New Roman" w:hAnsi="Times New Roman"/>
          <w:sz w:val="24"/>
        </w:rPr>
        <w:t xml:space="preserve">" </w:t>
      </w:r>
    </w:p>
    <w:p w14:paraId="04D2C134" w14:textId="0FAA3AFE"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72A55F25" w:rsidR="00193405" w:rsidRPr="005A1DB9" w:rsidRDefault="00193405" w:rsidP="00384346">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7E3D24" w:rsidRPr="005A1DB9">
                  <w:rPr>
                    <w:rFonts w:ascii="Times New Roman" w:hAnsi="Times New Roman" w:cs="Times New Roman"/>
                    <w:sz w:val="24"/>
                    <w:szCs w:val="24"/>
                  </w:rPr>
                  <w:t>dire</w:t>
                </w:r>
                <w:r w:rsidR="00384346">
                  <w:rPr>
                    <w:rFonts w:ascii="Times New Roman" w:hAnsi="Times New Roman" w:cs="Times New Roman"/>
                    <w:sz w:val="24"/>
                    <w:szCs w:val="24"/>
                  </w:rPr>
                  <w:t>ctor</w:t>
                </w:r>
              </w:sdtContent>
            </w:sdt>
            <w:r>
              <w:t>___________</w:t>
            </w:r>
            <w:r>
              <w:rPr>
                <w:rFonts w:ascii="Times New Roman" w:hAnsi="Times New Roman"/>
                <w:sz w:val="24"/>
              </w:rPr>
              <w:t xml:space="preserve"> based on the Cabinet Regulation No. 408 “Regulations of the Latvian Council of Science” of 30 June 2020 (hereinafter referred to as - the Council), on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1CDC6823"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of the project applications specified in Annex 1 “List of Projects” (hereinafter referred to as - the List of Projects) to the Agreement in the Open Call for Project Applications of the State Research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Public Health</w:t>
                </w:r>
              </w:sdtContent>
            </w:sdt>
            <w:r>
              <w:rPr>
                <w:rFonts w:ascii="Times New Roman" w:hAnsi="Times New Roman"/>
                <w:sz w:val="24"/>
              </w:rPr>
              <w:t>” (hereinafter referred to as - the Open Call)</w:t>
            </w:r>
            <w:r>
              <w:rPr>
                <w:rFonts w:ascii="Times New Roman" w:hAnsi="Times New Roman"/>
                <w:sz w:val="24"/>
                <w:shd w:val="clear" w:color="auto" w:fill="FFFFFF" w:themeFill="background1"/>
              </w:rPr>
              <w:t xml:space="preserve"> </w:t>
            </w:r>
            <w:r>
              <w:rPr>
                <w:rFonts w:ascii="Times New Roman" w:hAnsi="Times New Roman"/>
                <w:sz w:val="24"/>
              </w:rPr>
              <w:t xml:space="preserve"> </w:t>
            </w:r>
            <w:r>
              <w:rPr>
                <w:rFonts w:ascii="Times New Roman" w:hAnsi="Times New Roman"/>
                <w:sz w:val="24"/>
                <w:shd w:val="clear" w:color="auto" w:fill="FFFFFF" w:themeFill="background1"/>
              </w:rPr>
              <w:t>within the framework</w:t>
            </w:r>
            <w:r>
              <w:rPr>
                <w:rFonts w:ascii="Times New Roman" w:hAnsi="Times New Roman"/>
                <w:sz w:val="24"/>
              </w:rPr>
              <w:t xml:space="preserve"> of the following works (hereinafter referred to as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(hereinafter referred to as - the Assessment) and submits it to the Council via the National Information System for Scientific Activities (hereinafter referred to as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 the Consolidated Assessment) and submit it to the Council through the Information System, if the Expert is the contractor for the Consolidated Assessment;</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Coordinates the Consolidated Assessment before it is submitted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2.9 By signing the Agreement, the Expert agrees that his/her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4D400C9F"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including taxes laid down by the laws and regulations of the Republic of Latvia in the amount of</w:t>
            </w:r>
            <w:r w:rsidR="00384346">
              <w:rPr>
                <w:rFonts w:ascii="Times New Roman" w:hAnsi="Times New Roman"/>
                <w:sz w:val="24"/>
              </w:rPr>
              <w:t xml:space="preserve"> </w:t>
            </w:r>
            <w:bookmarkStart w:id="2" w:name="_GoBack"/>
            <w:bookmarkEnd w:id="2"/>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5A1DB9" w:rsidRDefault="00193405" w:rsidP="00174F4F">
            <w:pPr>
              <w:jc w:val="both"/>
              <w:rPr>
                <w:rFonts w:ascii="Times New Roman" w:hAnsi="Times New Roman" w:cs="Times New Roman"/>
                <w:sz w:val="24"/>
                <w:szCs w:val="24"/>
              </w:rPr>
            </w:pPr>
          </w:p>
          <w:p w14:paraId="14E86F5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shall approve it and the Assessment/Consolidated</w:t>
            </w:r>
            <w:r>
              <w:rPr>
                <w:rFonts w:ascii="Times New Roman" w:hAnsi="Times New Roman"/>
                <w:b/>
                <w:sz w:val="24"/>
              </w:rPr>
              <w:t xml:space="preserve"> Assessment</w:t>
            </w:r>
            <w:r>
              <w:rPr>
                <w:rFonts w:ascii="Times New Roman" w:hAnsi="Times New Roman"/>
                <w:sz w:val="24"/>
              </w:rPr>
              <w:t xml:space="preserve"> shall be accepted,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r>
              <w:rPr>
                <w:rFonts w:ascii="Times New Roman" w:hAnsi="Times New Roman"/>
                <w:sz w:val="24"/>
              </w:rPr>
              <w:t>4.3 The Royalty shall be paid by the Council in a lump sum to the Expert’s current bank account specified in the Agreement within 30 (thirty) days of the date of the quality check of the Assessment/</w:t>
            </w:r>
            <w:r>
              <w:rPr>
                <w:rFonts w:ascii="Times New Roman" w:hAnsi="Times New Roman"/>
                <w:b/>
                <w:sz w:val="24"/>
              </w:rPr>
              <w:t>Consolidated Assessment</w:t>
            </w:r>
            <w:r>
              <w:rPr>
                <w:rFonts w:ascii="Times New Roman" w:hAnsi="Times New Roman"/>
                <w:sz w:val="24"/>
              </w:rPr>
              <w:t xml:space="preserve"> referred to in Clause 4.2 of the Agreement (provided that the Agreement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royalties as laid down in the laws and regulations of the Republic of Latvia. </w:t>
            </w:r>
          </w:p>
          <w:bookmarkEnd w:id="3"/>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have been fulfilled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The signed Certification shall be uploaded by the Expert into the Information System as directed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shall undertake to keep confidential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shall be settled by negotiations between the Parties. If the Parties fail to reach an agreement through negotiations, disputes shall be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Address: 8 Smilšu Street,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59C72" w14:textId="77777777" w:rsidR="00CF5750" w:rsidRDefault="00CF5750" w:rsidP="002161C7">
      <w:pPr>
        <w:spacing w:after="0" w:line="240" w:lineRule="auto"/>
      </w:pPr>
      <w:r>
        <w:separator/>
      </w:r>
    </w:p>
  </w:endnote>
  <w:endnote w:type="continuationSeparator" w:id="0">
    <w:p w14:paraId="6B966D49" w14:textId="77777777" w:rsidR="00CF5750" w:rsidRDefault="00CF5750"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384346">
          <w:rPr>
            <w:rFonts w:ascii="Times New Roman" w:hAnsi="Times New Roman" w:cs="Times New Roman"/>
            <w:noProof/>
          </w:rPr>
          <w:t>2</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94300" w14:textId="77777777" w:rsidR="00CF5750" w:rsidRDefault="00CF5750" w:rsidP="002161C7">
      <w:pPr>
        <w:spacing w:after="0" w:line="240" w:lineRule="auto"/>
      </w:pPr>
      <w:r>
        <w:separator/>
      </w:r>
    </w:p>
  </w:footnote>
  <w:footnote w:type="continuationSeparator" w:id="0">
    <w:p w14:paraId="29698105" w14:textId="77777777" w:rsidR="00CF5750" w:rsidRDefault="00CF5750"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346"/>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164C"/>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441"/>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14A8"/>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5169"/>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204C"/>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CF575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303A4"/>
    <w:rsid w:val="00395086"/>
    <w:rsid w:val="003F3BD2"/>
    <w:rsid w:val="00407277"/>
    <w:rsid w:val="004874CC"/>
    <w:rsid w:val="004A01F7"/>
    <w:rsid w:val="00523B8A"/>
    <w:rsid w:val="0054399C"/>
    <w:rsid w:val="0055397E"/>
    <w:rsid w:val="005C4D96"/>
    <w:rsid w:val="007D6D35"/>
    <w:rsid w:val="00810E35"/>
    <w:rsid w:val="008459BC"/>
    <w:rsid w:val="00B05A8A"/>
    <w:rsid w:val="00BF4A7A"/>
    <w:rsid w:val="00C85637"/>
    <w:rsid w:val="00E95876"/>
    <w:rsid w:val="00EB4A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4732-663B-4D90-A3DF-6FA096D4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6487</Words>
  <Characters>3699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4</cp:revision>
  <cp:lastPrinted>2023-08-16T06:57:00Z</cp:lastPrinted>
  <dcterms:created xsi:type="dcterms:W3CDTF">2023-09-08T12:47:00Z</dcterms:created>
  <dcterms:modified xsi:type="dcterms:W3CDTF">2023-10-29T10:17:00Z</dcterms:modified>
</cp:coreProperties>
</file>